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E9" w:rsidRDefault="00D436E9" w:rsidP="0075726E">
      <w:pPr>
        <w:pStyle w:val="Leiptekstivasen"/>
      </w:pPr>
      <w:bookmarkStart w:id="0" w:name="DM_X_REFERENCE"/>
      <w:bookmarkStart w:id="1" w:name="_GoBack"/>
      <w:bookmarkEnd w:id="0"/>
      <w:bookmarkEnd w:id="1"/>
    </w:p>
    <w:p w:rsidR="0075726E" w:rsidRDefault="0075726E" w:rsidP="0075726E">
      <w:pPr>
        <w:pStyle w:val="Leiptekstivasen"/>
      </w:pPr>
    </w:p>
    <w:p w:rsidR="0075726E" w:rsidRPr="0075726E" w:rsidRDefault="00536729" w:rsidP="0075726E">
      <w:pPr>
        <w:pStyle w:val="Asiakirjannimi"/>
      </w:pPr>
      <w:bookmarkStart w:id="2" w:name="DM_DOCNAME"/>
      <w:r>
        <w:t>Ehdotus asetukseksi hirvieläinten näivetystaudin seurannasta, perust</w:t>
      </w:r>
      <w:r>
        <w:t>e</w:t>
      </w:r>
      <w:r>
        <w:t>lumuistio</w:t>
      </w:r>
      <w:bookmarkEnd w:id="2"/>
    </w:p>
    <w:p w:rsidR="00F325E4" w:rsidRDefault="00536729" w:rsidP="00536729">
      <w:pPr>
        <w:pStyle w:val="Alaotsikko"/>
      </w:pPr>
      <w:r>
        <w:t>Yleistä</w:t>
      </w:r>
    </w:p>
    <w:p w:rsidR="00E01183" w:rsidRDefault="00536729" w:rsidP="00536729">
      <w:pPr>
        <w:pStyle w:val="Leipteksti"/>
      </w:pPr>
      <w:r>
        <w:t>Asetuksella säädetään hirvieläinten näivetystaudin seurannasta poroissa ja tarhatuissa hi</w:t>
      </w:r>
      <w:r>
        <w:t>r</w:t>
      </w:r>
      <w:r>
        <w:t xml:space="preserve">vieläimissä. </w:t>
      </w:r>
      <w:r w:rsidR="00E01183">
        <w:t>Kyseessä on eläintautilain (441/2013) 17 §:ssä tarkoitettu eläinten terveydentilan ja eläintautien esiintymisen seuraamiseksi toteutettava pakollinen eläinten joukkotutkimus (</w:t>
      </w:r>
      <w:r w:rsidR="00E01183" w:rsidRPr="001B2D53">
        <w:rPr>
          <w:i/>
        </w:rPr>
        <w:t>se</w:t>
      </w:r>
      <w:r w:rsidR="00E01183" w:rsidRPr="001B2D53">
        <w:rPr>
          <w:i/>
        </w:rPr>
        <w:t>u</w:t>
      </w:r>
      <w:r w:rsidR="00E01183" w:rsidRPr="001B2D53">
        <w:rPr>
          <w:i/>
        </w:rPr>
        <w:t>rantatutkimus</w:t>
      </w:r>
      <w:r w:rsidR="00E01183" w:rsidRPr="001B2D53">
        <w:t>)</w:t>
      </w:r>
      <w:r w:rsidR="00E01183">
        <w:t xml:space="preserve">, jota EU-lainsäädäntö edellyttää. </w:t>
      </w:r>
      <w:r>
        <w:t>Asetus täydentää tarttuvien spongiformisten enkefalopatioiden ehkäisyä, valvontaa ja hävittämistä koskevista säännöistä annettua Euroopan parlamentin ja neuvoston asetusta (EY) N:o 999/2001 (</w:t>
      </w:r>
      <w:r w:rsidRPr="00536729">
        <w:rPr>
          <w:i/>
        </w:rPr>
        <w:t>TSE-asetus</w:t>
      </w:r>
      <w:r>
        <w:t>). E</w:t>
      </w:r>
      <w:r w:rsidR="00E01183">
        <w:t>uroopan komissio</w:t>
      </w:r>
      <w:r>
        <w:t xml:space="preserve"> on e</w:t>
      </w:r>
      <w:r>
        <w:t>h</w:t>
      </w:r>
      <w:r>
        <w:t xml:space="preserve">dottanut </w:t>
      </w:r>
      <w:r w:rsidR="00E01183">
        <w:t xml:space="preserve">kolme vuotta kestävän hirvieläinten näivetystaudin seurantaohjelman lisäämistä TSE asetuksen III liitteeseen. Ehdotusta on puollettu komission pysyvässä komiteassa 17.5.2017 ja se </w:t>
      </w:r>
      <w:r w:rsidR="00265AE0">
        <w:t>on tarkoitus hyväksyä syksyllä 2017</w:t>
      </w:r>
      <w:r w:rsidR="00E01183">
        <w:t>.</w:t>
      </w:r>
    </w:p>
    <w:p w:rsidR="000F5EB0" w:rsidRDefault="00E01183" w:rsidP="00536729">
      <w:pPr>
        <w:pStyle w:val="Leipteksti"/>
      </w:pPr>
      <w:r>
        <w:t>Seurantaohjelma perustuu Euroopan elintarviketurvallisuusviranomaisen (EFSA) suositukseen, ja sen tarkoituksena on selvittää, esiintyykö tietyissä jäsenvaltioissa</w:t>
      </w:r>
      <w:r w:rsidR="00EC22DA">
        <w:t>, kuten Suomessa,</w:t>
      </w:r>
      <w:r>
        <w:t xml:space="preserve"> TSE-tauteihin kuuluvaa hirvieläinten näivetystautia. Hirvieläinten näivetystautia todettiin tuntur</w:t>
      </w:r>
      <w:r>
        <w:t>i</w:t>
      </w:r>
      <w:r>
        <w:t>peuroissa Norjassa keväällä 2016. Tämä oli ensimmäinen kerta, kun hirvieläinten näivetystautia on todettu Euroopassa. Norjan tekemissä jatkoselvityksissä todettiin neljä tapausta lisää, kaksi tuntipeuroissa ja kaksi hirvissä. Nyt on tarkoitus selvittää, esiintyykö hirvieläinten näivetysta</w:t>
      </w:r>
      <w:r>
        <w:t>u</w:t>
      </w:r>
      <w:r>
        <w:t xml:space="preserve">tia niissä jäsenvaltioissa, joissa on hirviä tai poroja. </w:t>
      </w:r>
    </w:p>
    <w:p w:rsidR="00536729" w:rsidRDefault="00F54D96" w:rsidP="00536729">
      <w:pPr>
        <w:pStyle w:val="Leipteksti"/>
      </w:pPr>
      <w:r>
        <w:t xml:space="preserve">Seuranta kohdennetaan kuolleisiin, lopetettuihin, sairaana teurastettuihin tai lihantarkastuksessa hylättyihin yli 12 kuukauden ikäisiin hirvieläimiin. </w:t>
      </w:r>
      <w:r w:rsidR="000F5EB0">
        <w:t>Luonnonvaraisista hirvieläimistä (mets</w:t>
      </w:r>
      <w:r w:rsidR="000F5EB0">
        <w:t>ä</w:t>
      </w:r>
      <w:r w:rsidR="000F5EB0">
        <w:t>peura, hirvi, valkohäntäpeura ja metsäkauris) ja poroista tulisi saada kolme vuotta kestävän se</w:t>
      </w:r>
      <w:r w:rsidR="000F5EB0">
        <w:t>u</w:t>
      </w:r>
      <w:r w:rsidR="000F5EB0">
        <w:t xml:space="preserve">rantaohjelman aikana yhteensä 3000 näytettä. Myös tarhatuista hirvieläimistä </w:t>
      </w:r>
      <w:r>
        <w:t>(metsäpeura, hi</w:t>
      </w:r>
      <w:r>
        <w:t>r</w:t>
      </w:r>
      <w:r>
        <w:t xml:space="preserve">vi, valkohäntäpeura, saksanhirvi ja metsäkauris) </w:t>
      </w:r>
      <w:r w:rsidR="000F5EB0">
        <w:t xml:space="preserve">tulisi saada </w:t>
      </w:r>
      <w:r w:rsidR="00C676D6">
        <w:t xml:space="preserve">mahdollisuuksien mukaan </w:t>
      </w:r>
      <w:r w:rsidR="000F5EB0">
        <w:t xml:space="preserve">kolmen vuoden aikana 3000 näytettä. Suomessa on kuitenkin vain muuta </w:t>
      </w:r>
      <w:r>
        <w:t>eläin</w:t>
      </w:r>
      <w:r w:rsidR="000F5EB0">
        <w:t xml:space="preserve">tarha, jossa tarhataan </w:t>
      </w:r>
      <w:r>
        <w:t xml:space="preserve">kohde-eläimiin kuuluvia lajeja, joten </w:t>
      </w:r>
      <w:r w:rsidR="00C676D6">
        <w:t xml:space="preserve">tarkoitus on </w:t>
      </w:r>
      <w:r w:rsidR="00B91BA7">
        <w:t>tutki</w:t>
      </w:r>
      <w:r w:rsidR="00C676D6">
        <w:t>a</w:t>
      </w:r>
      <w:r w:rsidR="00B91BA7">
        <w:t xml:space="preserve"> ne näytteet, jotka </w:t>
      </w:r>
      <w:r w:rsidR="00C676D6">
        <w:t>on mahdollista saada</w:t>
      </w:r>
      <w:r w:rsidR="000F5EB0">
        <w:t xml:space="preserve">. </w:t>
      </w:r>
      <w:r w:rsidR="00E01183">
        <w:t>Jos seurantaohjelma viedään läpi TSE-asetuksen mukaisesti eikä tapauksia löydy, voidaan su</w:t>
      </w:r>
      <w:r w:rsidR="00E01183">
        <w:t>u</w:t>
      </w:r>
      <w:r w:rsidR="00E01183">
        <w:t>rella todennäköisyydellä katsoa, ettei kyseisessä jäsenvaltiossa esiinny hirvieläinten näivety</w:t>
      </w:r>
      <w:r w:rsidR="00E01183">
        <w:t>s</w:t>
      </w:r>
      <w:r w:rsidR="00E01183">
        <w:t xml:space="preserve">tautia.  </w:t>
      </w:r>
    </w:p>
    <w:p w:rsidR="00265AE0" w:rsidRDefault="00265AE0" w:rsidP="00536729">
      <w:pPr>
        <w:pStyle w:val="Leipteksti"/>
      </w:pPr>
      <w:r>
        <w:t>Asetuksella säädetään poroista tai tarhatuista hirvieläimistä vastuussa olevan toimijan velvo</w:t>
      </w:r>
      <w:r w:rsidR="00C676D6">
        <w:t>ll</w:t>
      </w:r>
      <w:r w:rsidR="00C676D6">
        <w:t>i</w:t>
      </w:r>
      <w:r w:rsidR="00C676D6">
        <w:t>suudesta</w:t>
      </w:r>
      <w:r>
        <w:t xml:space="preserve"> huolehtia näytteen toimittamisesta Elintarviketurvallisuusvirastoon tutkittavaksi. To</w:t>
      </w:r>
      <w:r>
        <w:t>i</w:t>
      </w:r>
      <w:r>
        <w:t>mija voi täyttää velvoitteen joko toimittamalla näytteen itse tai ilmoittamalla eläimen kuol</w:t>
      </w:r>
      <w:r>
        <w:t>e</w:t>
      </w:r>
      <w:r>
        <w:t>masta, lopetuksesta tai teurastuksesta kunnaneläinlääkärille, joka huolehtii näytteen ottamisesta ja sen toimittamisesta Elintarviketurvallisuusvirastoon. Jos tarkastuseläinlääkäri on tarkastanut eläimen, hän huolehtii näytteen ottamisesta ja sen lähettämisestä Elintarviketurvallisuusvira</w:t>
      </w:r>
      <w:r>
        <w:t>s</w:t>
      </w:r>
      <w:r>
        <w:t xml:space="preserve">toon. </w:t>
      </w:r>
      <w:r w:rsidR="000F5EB0">
        <w:t>Näytteeksi toimitetaan joko kuolleen eläimen pää tai pala aivorungosta. Elintarviketurva</w:t>
      </w:r>
      <w:r w:rsidR="000F5EB0">
        <w:t>l</w:t>
      </w:r>
      <w:r w:rsidR="000F5EB0">
        <w:t>lisuusvirasto antaa tarkemmat ohjeet näytteiden ottamisesta, pakkaamisesta ja lähettämisestä.</w:t>
      </w:r>
      <w:r>
        <w:t xml:space="preserve"> </w:t>
      </w:r>
    </w:p>
    <w:p w:rsidR="00DC3E35" w:rsidRPr="00EC7055" w:rsidRDefault="00DC3E35" w:rsidP="00DC3E35">
      <w:pPr>
        <w:pStyle w:val="Alaotsikko"/>
        <w:rPr>
          <w:szCs w:val="22"/>
        </w:rPr>
      </w:pPr>
      <w:r w:rsidRPr="00EC7055">
        <w:rPr>
          <w:szCs w:val="22"/>
        </w:rPr>
        <w:t>Vaikutusarviointi</w:t>
      </w:r>
    </w:p>
    <w:p w:rsidR="00B91BA7" w:rsidRDefault="00DC3E35" w:rsidP="00D64346">
      <w:pPr>
        <w:ind w:left="1296"/>
        <w:rPr>
          <w:szCs w:val="22"/>
        </w:rPr>
      </w:pPr>
      <w:r w:rsidRPr="00EC7055">
        <w:rPr>
          <w:szCs w:val="22"/>
        </w:rPr>
        <w:t>Elintarviketurvallisuusvirasto maksaa näytteen lähettämisestä ja tutkimuksesta aiheutuvat ku</w:t>
      </w:r>
      <w:r w:rsidRPr="00EC7055">
        <w:rPr>
          <w:szCs w:val="22"/>
        </w:rPr>
        <w:t>s</w:t>
      </w:r>
      <w:r w:rsidRPr="00EC7055">
        <w:rPr>
          <w:szCs w:val="22"/>
        </w:rPr>
        <w:t>tannukset. Jos kunnaneläinlääkäri huolehtii näytteen ottamisesta ja lähettämisestä, aluehallint</w:t>
      </w:r>
      <w:r w:rsidRPr="00EC7055">
        <w:rPr>
          <w:szCs w:val="22"/>
        </w:rPr>
        <w:t>o</w:t>
      </w:r>
      <w:r w:rsidRPr="00EC7055">
        <w:rPr>
          <w:szCs w:val="22"/>
        </w:rPr>
        <w:t>virasto korvaa toimituksesta aiheutuvat kustannukset kunnalle.</w:t>
      </w:r>
      <w:r w:rsidR="00D64346">
        <w:rPr>
          <w:szCs w:val="22"/>
        </w:rPr>
        <w:t xml:space="preserve"> </w:t>
      </w:r>
    </w:p>
    <w:p w:rsidR="00B91BA7" w:rsidRDefault="00B91BA7" w:rsidP="00D64346">
      <w:pPr>
        <w:ind w:left="1296"/>
        <w:rPr>
          <w:szCs w:val="22"/>
        </w:rPr>
      </w:pPr>
    </w:p>
    <w:p w:rsidR="00B91BA7" w:rsidRDefault="00C85D98" w:rsidP="00D64346">
      <w:pPr>
        <w:ind w:left="1296"/>
        <w:rPr>
          <w:szCs w:val="22"/>
        </w:rPr>
      </w:pPr>
      <w:r>
        <w:rPr>
          <w:szCs w:val="22"/>
        </w:rPr>
        <w:lastRenderedPageBreak/>
        <w:t>Näytteiden l</w:t>
      </w:r>
      <w:r w:rsidR="00D64346">
        <w:rPr>
          <w:szCs w:val="22"/>
        </w:rPr>
        <w:t xml:space="preserve">ähettämisestä ja näytteenotosta aiheutuu arviolta </w:t>
      </w:r>
      <w:r w:rsidR="00650D0D">
        <w:rPr>
          <w:szCs w:val="22"/>
        </w:rPr>
        <w:t>31000</w:t>
      </w:r>
      <w:r w:rsidR="00D64346">
        <w:rPr>
          <w:szCs w:val="22"/>
        </w:rPr>
        <w:t xml:space="preserve"> </w:t>
      </w:r>
      <w:r w:rsidR="00B91BA7">
        <w:rPr>
          <w:szCs w:val="22"/>
        </w:rPr>
        <w:t xml:space="preserve">euron </w:t>
      </w:r>
      <w:r w:rsidR="00D64346">
        <w:rPr>
          <w:szCs w:val="22"/>
        </w:rPr>
        <w:t>lisä</w:t>
      </w:r>
      <w:r>
        <w:rPr>
          <w:szCs w:val="22"/>
        </w:rPr>
        <w:t>kustannukset</w:t>
      </w:r>
      <w:r w:rsidR="00D64346">
        <w:rPr>
          <w:szCs w:val="22"/>
        </w:rPr>
        <w:t xml:space="preserve"> Elintarviketurvallisuusviraston käyttöön asetetulle eläinlääkintähuoltomomentille</w:t>
      </w:r>
      <w:r w:rsidR="00B91BA7">
        <w:rPr>
          <w:szCs w:val="22"/>
        </w:rPr>
        <w:t xml:space="preserve">. </w:t>
      </w:r>
      <w:r>
        <w:rPr>
          <w:szCs w:val="22"/>
        </w:rPr>
        <w:t>Kustannu</w:t>
      </w:r>
      <w:r>
        <w:rPr>
          <w:szCs w:val="22"/>
        </w:rPr>
        <w:t>k</w:t>
      </w:r>
      <w:r>
        <w:rPr>
          <w:szCs w:val="22"/>
        </w:rPr>
        <w:t xml:space="preserve">set </w:t>
      </w:r>
      <w:r w:rsidR="00B91BA7">
        <w:rPr>
          <w:szCs w:val="22"/>
        </w:rPr>
        <w:t>voidaan ka</w:t>
      </w:r>
      <w:r>
        <w:rPr>
          <w:szCs w:val="22"/>
        </w:rPr>
        <w:t>t</w:t>
      </w:r>
      <w:r w:rsidR="00B91BA7">
        <w:rPr>
          <w:szCs w:val="22"/>
        </w:rPr>
        <w:t xml:space="preserve">taa momentin sisäisellä </w:t>
      </w:r>
      <w:r>
        <w:rPr>
          <w:szCs w:val="22"/>
        </w:rPr>
        <w:t>määräraha</w:t>
      </w:r>
      <w:r w:rsidR="00B91BA7">
        <w:rPr>
          <w:szCs w:val="22"/>
        </w:rPr>
        <w:t>siirrolla</w:t>
      </w:r>
      <w:r w:rsidR="00D64346">
        <w:rPr>
          <w:szCs w:val="22"/>
        </w:rPr>
        <w:t>.</w:t>
      </w:r>
      <w:r w:rsidR="00B91BA7">
        <w:rPr>
          <w:szCs w:val="22"/>
        </w:rPr>
        <w:t xml:space="preserve"> Kunnaneläinlä</w:t>
      </w:r>
      <w:r>
        <w:rPr>
          <w:szCs w:val="22"/>
        </w:rPr>
        <w:t>äkärien ottamista näy</w:t>
      </w:r>
      <w:r>
        <w:rPr>
          <w:szCs w:val="22"/>
        </w:rPr>
        <w:t>t</w:t>
      </w:r>
      <w:r>
        <w:rPr>
          <w:szCs w:val="22"/>
        </w:rPr>
        <w:t xml:space="preserve">teistä </w:t>
      </w:r>
      <w:r w:rsidR="00B91BA7">
        <w:rPr>
          <w:szCs w:val="22"/>
        </w:rPr>
        <w:t>oleteta</w:t>
      </w:r>
      <w:r>
        <w:rPr>
          <w:szCs w:val="22"/>
        </w:rPr>
        <w:t>an</w:t>
      </w:r>
      <w:r w:rsidR="00B91BA7">
        <w:rPr>
          <w:szCs w:val="22"/>
        </w:rPr>
        <w:t xml:space="preserve"> koituvan </w:t>
      </w:r>
      <w:r>
        <w:rPr>
          <w:szCs w:val="22"/>
        </w:rPr>
        <w:t>vain vähäisiä</w:t>
      </w:r>
      <w:r w:rsidR="00B91BA7">
        <w:rPr>
          <w:szCs w:val="22"/>
        </w:rPr>
        <w:t xml:space="preserve"> lisäkustannuksia</w:t>
      </w:r>
      <w:r>
        <w:rPr>
          <w:szCs w:val="22"/>
        </w:rPr>
        <w:t>, jotka</w:t>
      </w:r>
      <w:r w:rsidR="00B91BA7">
        <w:rPr>
          <w:szCs w:val="22"/>
        </w:rPr>
        <w:t xml:space="preserve"> voidaan kattaa </w:t>
      </w:r>
      <w:r>
        <w:rPr>
          <w:szCs w:val="22"/>
        </w:rPr>
        <w:t>aluehallintovira</w:t>
      </w:r>
      <w:r>
        <w:rPr>
          <w:szCs w:val="22"/>
        </w:rPr>
        <w:t>s</w:t>
      </w:r>
      <w:r>
        <w:rPr>
          <w:szCs w:val="22"/>
        </w:rPr>
        <w:t>tojen käyttöön asetetulle eläinlääkintähuoltomomentille varatusta määrärahasta</w:t>
      </w:r>
      <w:r w:rsidR="00B91BA7">
        <w:rPr>
          <w:szCs w:val="22"/>
        </w:rPr>
        <w:t>. Näytteiden k</w:t>
      </w:r>
      <w:r w:rsidR="00B91BA7">
        <w:rPr>
          <w:szCs w:val="22"/>
        </w:rPr>
        <w:t>ä</w:t>
      </w:r>
      <w:r w:rsidR="00B91BA7">
        <w:rPr>
          <w:szCs w:val="22"/>
        </w:rPr>
        <w:t xml:space="preserve">sittelystä ja laboratoriotutkimuksista aiheutuu arviolta </w:t>
      </w:r>
      <w:r w:rsidR="00650D0D">
        <w:rPr>
          <w:szCs w:val="22"/>
        </w:rPr>
        <w:t>20000</w:t>
      </w:r>
      <w:r w:rsidR="00B91BA7">
        <w:rPr>
          <w:szCs w:val="22"/>
        </w:rPr>
        <w:t xml:space="preserve"> euron </w:t>
      </w:r>
      <w:r>
        <w:rPr>
          <w:szCs w:val="22"/>
        </w:rPr>
        <w:t>kustannukset</w:t>
      </w:r>
      <w:r w:rsidR="00B91BA7">
        <w:rPr>
          <w:szCs w:val="22"/>
        </w:rPr>
        <w:t xml:space="preserve"> Elintarvik</w:t>
      </w:r>
      <w:r w:rsidR="00B91BA7">
        <w:rPr>
          <w:szCs w:val="22"/>
        </w:rPr>
        <w:t>e</w:t>
      </w:r>
      <w:r w:rsidR="00B91BA7">
        <w:rPr>
          <w:szCs w:val="22"/>
        </w:rPr>
        <w:t xml:space="preserve">turvallisuusvirastolle. Kustannukset voidaan kattaa </w:t>
      </w:r>
      <w:r>
        <w:rPr>
          <w:szCs w:val="22"/>
        </w:rPr>
        <w:t>viraston toimintamäärärahoista</w:t>
      </w:r>
      <w:r w:rsidR="00B91BA7">
        <w:rPr>
          <w:szCs w:val="22"/>
        </w:rPr>
        <w:t xml:space="preserve">. </w:t>
      </w:r>
    </w:p>
    <w:p w:rsidR="00B91BA7" w:rsidRDefault="00B91BA7" w:rsidP="00D64346">
      <w:pPr>
        <w:ind w:left="1296"/>
        <w:rPr>
          <w:szCs w:val="22"/>
        </w:rPr>
      </w:pPr>
    </w:p>
    <w:p w:rsidR="00D64346" w:rsidRDefault="00C85D98" w:rsidP="00D64346">
      <w:pPr>
        <w:ind w:left="1296"/>
        <w:rPr>
          <w:szCs w:val="22"/>
        </w:rPr>
      </w:pPr>
      <w:r>
        <w:rPr>
          <w:szCs w:val="22"/>
        </w:rPr>
        <w:t xml:space="preserve">Euroopan unionilta haetaan </w:t>
      </w:r>
      <w:r w:rsidR="00B91BA7">
        <w:rPr>
          <w:szCs w:val="22"/>
        </w:rPr>
        <w:t>osarahoitusta laboratoriotutkimuksiin ja näytteiden lähetyskusta</w:t>
      </w:r>
      <w:r w:rsidR="00B91BA7">
        <w:rPr>
          <w:szCs w:val="22"/>
        </w:rPr>
        <w:t>n</w:t>
      </w:r>
      <w:r w:rsidR="00B91BA7">
        <w:rPr>
          <w:szCs w:val="22"/>
        </w:rPr>
        <w:t xml:space="preserve">nuksiin. </w:t>
      </w:r>
      <w:r w:rsidR="00D64346">
        <w:rPr>
          <w:szCs w:val="22"/>
        </w:rPr>
        <w:t xml:space="preserve"> </w:t>
      </w:r>
    </w:p>
    <w:p w:rsidR="00DC3E35" w:rsidRDefault="00D64346" w:rsidP="00DC3E35">
      <w:pPr>
        <w:ind w:left="1296"/>
        <w:rPr>
          <w:szCs w:val="22"/>
        </w:rPr>
      </w:pPr>
      <w:r>
        <w:rPr>
          <w:szCs w:val="22"/>
        </w:rPr>
        <w:t xml:space="preserve"> </w:t>
      </w:r>
    </w:p>
    <w:p w:rsidR="00DC3E35" w:rsidRPr="00EC7055" w:rsidRDefault="00DC3E35" w:rsidP="00DC3E35">
      <w:pPr>
        <w:ind w:left="1296"/>
        <w:rPr>
          <w:szCs w:val="22"/>
        </w:rPr>
      </w:pPr>
      <w:r>
        <w:rPr>
          <w:szCs w:val="22"/>
        </w:rPr>
        <w:t xml:space="preserve">Velvoitteesta aiheutuu jonkin verran vaivaa toimijoille, mutta kustannuksista vastaa valtio. </w:t>
      </w:r>
      <w:r w:rsidR="00D64346">
        <w:rPr>
          <w:szCs w:val="22"/>
        </w:rPr>
        <w:t xml:space="preserve">Osoitus siitä, ettei Suomessa suurella todennäköisyydellä esiinny hirvieläinten näivetystautia, on </w:t>
      </w:r>
      <w:r w:rsidR="00B91BA7">
        <w:rPr>
          <w:szCs w:val="22"/>
        </w:rPr>
        <w:t xml:space="preserve">koko Suomen ja </w:t>
      </w:r>
      <w:r w:rsidR="00D64346">
        <w:rPr>
          <w:szCs w:val="22"/>
        </w:rPr>
        <w:t>elinkeinon etu.</w:t>
      </w:r>
      <w:r>
        <w:rPr>
          <w:szCs w:val="22"/>
        </w:rPr>
        <w:t xml:space="preserve"> </w:t>
      </w:r>
    </w:p>
    <w:p w:rsidR="00DC3E35" w:rsidRPr="00EC7055" w:rsidRDefault="00DC3E35" w:rsidP="00DC3E35">
      <w:pPr>
        <w:ind w:left="1296"/>
        <w:rPr>
          <w:szCs w:val="22"/>
        </w:rPr>
      </w:pPr>
      <w:r w:rsidRPr="00EC7055">
        <w:rPr>
          <w:szCs w:val="22"/>
        </w:rPr>
        <w:t xml:space="preserve">   </w:t>
      </w:r>
    </w:p>
    <w:p w:rsidR="00DC3E35" w:rsidRPr="00EC7055" w:rsidRDefault="00DC3E35" w:rsidP="00DC3E35">
      <w:pPr>
        <w:pStyle w:val="Alaotsikko"/>
        <w:rPr>
          <w:szCs w:val="22"/>
        </w:rPr>
      </w:pPr>
      <w:r w:rsidRPr="00EC7055">
        <w:rPr>
          <w:szCs w:val="22"/>
        </w:rPr>
        <w:t>Valmistelu</w:t>
      </w:r>
    </w:p>
    <w:p w:rsidR="00DC3E35" w:rsidRPr="00EC7055" w:rsidRDefault="00DC3E35" w:rsidP="00DC3E35">
      <w:pPr>
        <w:pStyle w:val="Leipteksti"/>
        <w:rPr>
          <w:szCs w:val="22"/>
        </w:rPr>
      </w:pPr>
      <w:r w:rsidRPr="00EC7055">
        <w:rPr>
          <w:szCs w:val="22"/>
        </w:rPr>
        <w:t>Ehdotus</w:t>
      </w:r>
      <w:r>
        <w:rPr>
          <w:szCs w:val="22"/>
        </w:rPr>
        <w:t>ta</w:t>
      </w:r>
      <w:r w:rsidRPr="00EC7055">
        <w:rPr>
          <w:szCs w:val="22"/>
        </w:rPr>
        <w:t xml:space="preserve"> on valmisteltu virkatyönä yhteistyössä Elintarviketurvallisuusviraston asiantuntijo</w:t>
      </w:r>
      <w:r w:rsidRPr="00EC7055">
        <w:rPr>
          <w:szCs w:val="22"/>
        </w:rPr>
        <w:t>i</w:t>
      </w:r>
      <w:r w:rsidRPr="00EC7055">
        <w:rPr>
          <w:szCs w:val="22"/>
        </w:rPr>
        <w:t xml:space="preserve">den kanssa.  </w:t>
      </w:r>
    </w:p>
    <w:p w:rsidR="00DC3E35" w:rsidRDefault="00DC3E35" w:rsidP="00DC3E35">
      <w:pPr>
        <w:pStyle w:val="Alaotsikko"/>
        <w:rPr>
          <w:szCs w:val="22"/>
        </w:rPr>
      </w:pPr>
      <w:r w:rsidRPr="00EC7055">
        <w:rPr>
          <w:szCs w:val="22"/>
        </w:rPr>
        <w:t>Yksityiskohtaiset perustelut</w:t>
      </w:r>
    </w:p>
    <w:p w:rsidR="00DC3E35" w:rsidRDefault="00DC3E35" w:rsidP="00DC3E35">
      <w:pPr>
        <w:pStyle w:val="Leipteksti"/>
        <w:rPr>
          <w:i/>
        </w:rPr>
      </w:pPr>
      <w:r>
        <w:t xml:space="preserve">1 §. </w:t>
      </w:r>
      <w:r w:rsidRPr="0007003F">
        <w:rPr>
          <w:i/>
        </w:rPr>
        <w:t>Soveltamisala</w:t>
      </w:r>
    </w:p>
    <w:p w:rsidR="00DC3E35" w:rsidRDefault="00D64346" w:rsidP="00DC3E35">
      <w:pPr>
        <w:pStyle w:val="Leipteksti"/>
      </w:pPr>
      <w:r>
        <w:t xml:space="preserve">Pykälässä </w:t>
      </w:r>
      <w:r w:rsidR="00AD2513">
        <w:t xml:space="preserve">ehdotetaan </w:t>
      </w:r>
      <w:r>
        <w:t>viitat</w:t>
      </w:r>
      <w:r w:rsidR="00AD2513">
        <w:t xml:space="preserve">tavaksi </w:t>
      </w:r>
      <w:r>
        <w:t>TSE-asetuksen säännöksiin, jota ehdotetulla asetuksella tä</w:t>
      </w:r>
      <w:r>
        <w:t>y</w:t>
      </w:r>
      <w:r>
        <w:t>dennetään toimijoiden velvoitteiden osalta.</w:t>
      </w:r>
      <w:r w:rsidR="00DC3E35">
        <w:t xml:space="preserve"> </w:t>
      </w:r>
    </w:p>
    <w:p w:rsidR="00DC3E35" w:rsidRDefault="00DC3E35" w:rsidP="00DC3E35">
      <w:pPr>
        <w:pStyle w:val="Leipteksti"/>
      </w:pPr>
      <w:r>
        <w:t xml:space="preserve">2 §. </w:t>
      </w:r>
      <w:r>
        <w:rPr>
          <w:i/>
        </w:rPr>
        <w:t>Määritelmät</w:t>
      </w:r>
      <w:r>
        <w:rPr>
          <w:i/>
        </w:rPr>
        <w:br/>
      </w:r>
      <w:r w:rsidR="00D64346">
        <w:br/>
        <w:t>Pykälä</w:t>
      </w:r>
      <w:r w:rsidR="009B7D28">
        <w:t>än</w:t>
      </w:r>
      <w:r w:rsidR="00D64346">
        <w:t xml:space="preserve"> </w:t>
      </w:r>
      <w:r w:rsidR="00AD2513">
        <w:t xml:space="preserve">ehdotetaan </w:t>
      </w:r>
      <w:r w:rsidR="00D64346">
        <w:t>määritel</w:t>
      </w:r>
      <w:r w:rsidR="00AD2513">
        <w:t>mä</w:t>
      </w:r>
      <w:r w:rsidR="009B7D28">
        <w:t>ä</w:t>
      </w:r>
      <w:r w:rsidR="00D64346">
        <w:t xml:space="preserve"> tarhatu</w:t>
      </w:r>
      <w:r w:rsidR="00AD2513">
        <w:t>ille</w:t>
      </w:r>
      <w:r w:rsidR="00D64346">
        <w:t xml:space="preserve"> hirvieläim</w:t>
      </w:r>
      <w:r w:rsidR="00AD2513">
        <w:t>ille.</w:t>
      </w:r>
      <w:r w:rsidR="009B7D28">
        <w:t xml:space="preserve"> Määritelmään ei sisälly kuusipeura, koska kuusipeura ei kuulu seurannan kohde-eläimiin sen perinnöllisen vastustuskyvyn takia. </w:t>
      </w:r>
    </w:p>
    <w:p w:rsidR="00DC3E35" w:rsidRPr="00D64346" w:rsidRDefault="00DC3E35" w:rsidP="00DC3E35">
      <w:pPr>
        <w:pStyle w:val="Leipteksti"/>
        <w:rPr>
          <w:i/>
        </w:rPr>
      </w:pPr>
      <w:r>
        <w:t>3 §</w:t>
      </w:r>
      <w:r w:rsidR="00D64346">
        <w:t xml:space="preserve"> </w:t>
      </w:r>
      <w:r w:rsidR="00D64346">
        <w:rPr>
          <w:i/>
        </w:rPr>
        <w:t>Seuranta tarhatuissa hirvieläimissä</w:t>
      </w:r>
    </w:p>
    <w:p w:rsidR="00AD2513" w:rsidRDefault="00AD2513" w:rsidP="00DC3E35">
      <w:pPr>
        <w:pStyle w:val="Leipteksti"/>
      </w:pPr>
      <w:r>
        <w:t>Pykälässä ehdotetaan täsmennettäväksi missä olosuhteissa tarhatuista hirvieläimistä tulee lähe</w:t>
      </w:r>
      <w:r>
        <w:t>t</w:t>
      </w:r>
      <w:r>
        <w:t>tää näytteitä tutkittaviksi hirvieläinten näivetystaudin varalta.</w:t>
      </w:r>
    </w:p>
    <w:p w:rsidR="00AD2513" w:rsidRDefault="00AD2513" w:rsidP="00DC3E35">
      <w:pPr>
        <w:pStyle w:val="Leipteksti"/>
      </w:pPr>
      <w:r>
        <w:t xml:space="preserve">Koska tutkittaviksi määrättyjä hirvieläimiä on vain muutamassa </w:t>
      </w:r>
      <w:r w:rsidR="00650D0D">
        <w:t>eläin</w:t>
      </w:r>
      <w:r>
        <w:t>tarhassa Suomessa, ehd</w:t>
      </w:r>
      <w:r>
        <w:t>o</w:t>
      </w:r>
      <w:r>
        <w:t xml:space="preserve">tetaan säädettäväksi, että kaikki kohderyhmään kuuluvat eläimet on tutkittava seurantaohjelman aikana. </w:t>
      </w:r>
    </w:p>
    <w:p w:rsidR="00DC3E35" w:rsidRDefault="00AD2513" w:rsidP="00DC3E35">
      <w:pPr>
        <w:pStyle w:val="Leipteksti"/>
        <w:rPr>
          <w:i/>
        </w:rPr>
      </w:pPr>
      <w:r>
        <w:t>4</w:t>
      </w:r>
      <w:r w:rsidR="00DC3E35">
        <w:t xml:space="preserve"> §. </w:t>
      </w:r>
      <w:r>
        <w:rPr>
          <w:i/>
        </w:rPr>
        <w:t>Seuranta poroissa</w:t>
      </w:r>
    </w:p>
    <w:p w:rsidR="00AD2513" w:rsidRDefault="00DC3E35" w:rsidP="00DC3E35">
      <w:pPr>
        <w:pStyle w:val="Leipteksti"/>
        <w:rPr>
          <w:szCs w:val="22"/>
        </w:rPr>
      </w:pPr>
      <w:r>
        <w:rPr>
          <w:szCs w:val="22"/>
        </w:rPr>
        <w:t>Pykälällä</w:t>
      </w:r>
      <w:r w:rsidRPr="00EC7055">
        <w:rPr>
          <w:szCs w:val="22"/>
        </w:rPr>
        <w:t xml:space="preserve"> </w:t>
      </w:r>
      <w:r>
        <w:rPr>
          <w:szCs w:val="22"/>
        </w:rPr>
        <w:t xml:space="preserve">ehdotetaan </w:t>
      </w:r>
      <w:r w:rsidR="00AD2513">
        <w:rPr>
          <w:szCs w:val="22"/>
        </w:rPr>
        <w:t>täsmennettäväksi missä olosuhteissa poroista tulee lähettää näytteitä tu</w:t>
      </w:r>
      <w:r w:rsidR="00AD2513">
        <w:rPr>
          <w:szCs w:val="22"/>
        </w:rPr>
        <w:t>t</w:t>
      </w:r>
      <w:r w:rsidR="00AD2513">
        <w:rPr>
          <w:szCs w:val="22"/>
        </w:rPr>
        <w:t>kittaviksi hirvieläinten näivetystaudin varalta.</w:t>
      </w:r>
    </w:p>
    <w:p w:rsidR="00AD2513" w:rsidRDefault="00AD2513" w:rsidP="00DC3E35">
      <w:pPr>
        <w:pStyle w:val="Leipteksti"/>
        <w:rPr>
          <w:szCs w:val="22"/>
        </w:rPr>
      </w:pPr>
      <w:r>
        <w:rPr>
          <w:szCs w:val="22"/>
        </w:rPr>
        <w:t xml:space="preserve">Koska kohderyhmään kuuluvia poroja arvioidaan olevan enemmän kuin seurantaohjelmassa tarvitaan, ja näytteiden tulee olla maantieteellisesti edustavia, ehdotetaan säädettäväksi, että näytteiden lähetys voidaan lopettaa kun paliskunnasta on tutkittu 30 eläintä. </w:t>
      </w:r>
    </w:p>
    <w:p w:rsidR="00AD2513" w:rsidRDefault="00AD2513" w:rsidP="00DC3E35">
      <w:pPr>
        <w:pStyle w:val="Leipteksti"/>
        <w:rPr>
          <w:i/>
          <w:szCs w:val="22"/>
        </w:rPr>
      </w:pPr>
      <w:r>
        <w:rPr>
          <w:szCs w:val="22"/>
        </w:rPr>
        <w:t xml:space="preserve">5 § </w:t>
      </w:r>
      <w:r>
        <w:rPr>
          <w:i/>
          <w:szCs w:val="22"/>
        </w:rPr>
        <w:t>Vastuu näytteen</w:t>
      </w:r>
      <w:r w:rsidR="009B7D28">
        <w:rPr>
          <w:i/>
          <w:szCs w:val="22"/>
        </w:rPr>
        <w:t>otosta</w:t>
      </w:r>
    </w:p>
    <w:p w:rsidR="00BA2A8E" w:rsidRDefault="00BA2A8E" w:rsidP="00DC3E35">
      <w:pPr>
        <w:pStyle w:val="Leipteksti"/>
        <w:rPr>
          <w:szCs w:val="22"/>
        </w:rPr>
      </w:pPr>
      <w:r>
        <w:rPr>
          <w:szCs w:val="22"/>
        </w:rPr>
        <w:lastRenderedPageBreak/>
        <w:t xml:space="preserve">Pykälässä ehdotetaan säädettäväksi </w:t>
      </w:r>
      <w:r w:rsidR="006F6F75">
        <w:rPr>
          <w:szCs w:val="22"/>
        </w:rPr>
        <w:t xml:space="preserve">eläimistä vastuussa olevan </w:t>
      </w:r>
      <w:r>
        <w:rPr>
          <w:szCs w:val="22"/>
        </w:rPr>
        <w:t>toimijan velvo</w:t>
      </w:r>
      <w:r w:rsidR="009B7D28">
        <w:rPr>
          <w:szCs w:val="22"/>
        </w:rPr>
        <w:t>llisuudesta</w:t>
      </w:r>
      <w:r>
        <w:rPr>
          <w:szCs w:val="22"/>
        </w:rPr>
        <w:t xml:space="preserve"> hu</w:t>
      </w:r>
      <w:r>
        <w:rPr>
          <w:szCs w:val="22"/>
        </w:rPr>
        <w:t>o</w:t>
      </w:r>
      <w:r>
        <w:rPr>
          <w:szCs w:val="22"/>
        </w:rPr>
        <w:t>lehtia siitä, että kohderyhmään kuuluvasta eläimestä toimitetaan näyte tutkittavaksi Elintarvik</w:t>
      </w:r>
      <w:r>
        <w:rPr>
          <w:szCs w:val="22"/>
        </w:rPr>
        <w:t>e</w:t>
      </w:r>
      <w:r>
        <w:rPr>
          <w:szCs w:val="22"/>
        </w:rPr>
        <w:t>turvallisuusvirastoon. Toimija voi</w:t>
      </w:r>
      <w:r w:rsidR="006F6F75">
        <w:rPr>
          <w:szCs w:val="22"/>
        </w:rPr>
        <w:t>si</w:t>
      </w:r>
      <w:r>
        <w:rPr>
          <w:szCs w:val="22"/>
        </w:rPr>
        <w:t xml:space="preserve"> myös huolehtia näytteen otosta ilmoittamalla eläimen ku</w:t>
      </w:r>
      <w:r>
        <w:rPr>
          <w:szCs w:val="22"/>
        </w:rPr>
        <w:t>o</w:t>
      </w:r>
      <w:r>
        <w:rPr>
          <w:szCs w:val="22"/>
        </w:rPr>
        <w:t>lemasta, lopetuksesta tai teurastuksesta kunnaneläinlääkärille, joka huolehtii näytteen ottam</w:t>
      </w:r>
      <w:r>
        <w:rPr>
          <w:szCs w:val="22"/>
        </w:rPr>
        <w:t>i</w:t>
      </w:r>
      <w:r>
        <w:rPr>
          <w:szCs w:val="22"/>
        </w:rPr>
        <w:t xml:space="preserve">sesta ja sen toimittamisesta Elintarviketurvallisuusvirastoon. </w:t>
      </w:r>
      <w:r w:rsidR="006F6F75">
        <w:rPr>
          <w:szCs w:val="22"/>
        </w:rPr>
        <w:t xml:space="preserve"> </w:t>
      </w:r>
    </w:p>
    <w:p w:rsidR="006F6F75" w:rsidRDefault="006F6F75" w:rsidP="00DC3E35">
      <w:pPr>
        <w:pStyle w:val="Leipteksti"/>
        <w:rPr>
          <w:szCs w:val="22"/>
        </w:rPr>
      </w:pPr>
      <w:r>
        <w:rPr>
          <w:szCs w:val="22"/>
        </w:rPr>
        <w:t>Osa poroista teurastetaan suoramyyntiin tai omaan käyttöön ilman lihantarkastusta. Jos tälla</w:t>
      </w:r>
      <w:r>
        <w:rPr>
          <w:szCs w:val="22"/>
        </w:rPr>
        <w:t>i</w:t>
      </w:r>
      <w:r>
        <w:rPr>
          <w:szCs w:val="22"/>
        </w:rPr>
        <w:t>nen eläin on ollut sairas tai kuihtunut ennen teurastusta, toimija olisi velvollinen toimittamaan siitä näytteen Elintarviketurvallisuusvirastoon. Jos eläimen sairaus tai kuihtuminen huomataan lihantarkastuksen yhteydessä, tai eläin hylätään lihantarkastuksessa, tarkastuseläinlääkäri olisi velvollinen huolehtimaan näytteen toimittamisesta Elintarviketurvallisuusvirastoon.</w:t>
      </w:r>
    </w:p>
    <w:p w:rsidR="006F6F75" w:rsidRDefault="006F6F75" w:rsidP="00DC3E35">
      <w:pPr>
        <w:pStyle w:val="Leipteksti"/>
        <w:rPr>
          <w:i/>
          <w:szCs w:val="22"/>
        </w:rPr>
      </w:pPr>
      <w:r>
        <w:rPr>
          <w:szCs w:val="22"/>
        </w:rPr>
        <w:t xml:space="preserve">6 § </w:t>
      </w:r>
      <w:r>
        <w:rPr>
          <w:i/>
          <w:szCs w:val="22"/>
        </w:rPr>
        <w:t>Voimaantulo ja voimassaoloaika</w:t>
      </w:r>
    </w:p>
    <w:p w:rsidR="006F6F75" w:rsidRPr="006F6F75" w:rsidRDefault="006F6F75" w:rsidP="00DC3E35">
      <w:pPr>
        <w:pStyle w:val="Leipteksti"/>
        <w:rPr>
          <w:szCs w:val="22"/>
        </w:rPr>
      </w:pPr>
      <w:r>
        <w:rPr>
          <w:szCs w:val="22"/>
        </w:rPr>
        <w:t xml:space="preserve">Asetus tulisi voimaan </w:t>
      </w:r>
      <w:r w:rsidR="009B7D28">
        <w:rPr>
          <w:szCs w:val="22"/>
        </w:rPr>
        <w:t>1.1.2018. Sen voimassaolo päättyisi 31.12.2020, eli voimassaoloaika va</w:t>
      </w:r>
      <w:r w:rsidR="009B7D28">
        <w:rPr>
          <w:szCs w:val="22"/>
        </w:rPr>
        <w:t>s</w:t>
      </w:r>
      <w:r w:rsidR="009B7D28">
        <w:rPr>
          <w:szCs w:val="22"/>
        </w:rPr>
        <w:t>taisi</w:t>
      </w:r>
      <w:r>
        <w:rPr>
          <w:szCs w:val="22"/>
        </w:rPr>
        <w:t xml:space="preserve"> TSE-asetukse</w:t>
      </w:r>
      <w:r w:rsidR="009B7D28">
        <w:rPr>
          <w:szCs w:val="22"/>
        </w:rPr>
        <w:t>n mukaisen seurantaohjelman kestoa koskevia vaatimuksia</w:t>
      </w:r>
      <w:r>
        <w:rPr>
          <w:szCs w:val="22"/>
        </w:rPr>
        <w:t xml:space="preserve">. </w:t>
      </w:r>
    </w:p>
    <w:p w:rsidR="00BA2A8E" w:rsidRPr="00BA2A8E" w:rsidRDefault="00BA2A8E" w:rsidP="00DC3E35">
      <w:pPr>
        <w:pStyle w:val="Leipteksti"/>
        <w:rPr>
          <w:szCs w:val="22"/>
        </w:rPr>
      </w:pPr>
    </w:p>
    <w:p w:rsidR="00DC3E35" w:rsidRPr="00510BE4" w:rsidRDefault="00DC3E35" w:rsidP="00DC3E35">
      <w:pPr>
        <w:pStyle w:val="Leipteksti"/>
      </w:pPr>
      <w:r>
        <w:rPr>
          <w:szCs w:val="22"/>
        </w:rPr>
        <w:t xml:space="preserve"> </w:t>
      </w:r>
    </w:p>
    <w:p w:rsidR="00DC3E35" w:rsidRPr="00536729" w:rsidRDefault="00DC3E35" w:rsidP="00536729">
      <w:pPr>
        <w:pStyle w:val="Leipteksti"/>
      </w:pPr>
    </w:p>
    <w:sectPr w:rsidR="00DC3E35" w:rsidRPr="00536729" w:rsidSect="000A0790">
      <w:headerReference w:type="default" r:id="rId9"/>
      <w:headerReference w:type="first" r:id="rId10"/>
      <w:footerReference w:type="first" r:id="rId11"/>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rgValue="AgBMAGUAaQBwAOQAdABlAGsAcwB0AGkAIABpAGwAbQBhAG4AIABrAHAAbAAtAHYA5ABsAGkA5AA="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0F" w:rsidRDefault="003D570F">
      <w:r>
        <w:separator/>
      </w:r>
    </w:p>
  </w:endnote>
  <w:endnote w:type="continuationSeparator" w:id="0">
    <w:p w:rsidR="003D570F" w:rsidRDefault="003D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0A0790" w:rsidRPr="00337497">
      <w:trPr>
        <w:trHeight w:hRule="exact" w:val="660"/>
      </w:trPr>
      <w:tc>
        <w:tcPr>
          <w:tcW w:w="2977" w:type="dxa"/>
        </w:tcPr>
        <w:p w:rsidR="000A0790" w:rsidRPr="00337497" w:rsidRDefault="00A84378" w:rsidP="000A0790">
          <w:pPr>
            <w:rPr>
              <w:rFonts w:ascii="Lucida Sans Unicode" w:eastAsia="Arial Unicode MS" w:hAnsi="Lucida Sans Unicode"/>
              <w:color w:val="212123"/>
              <w:sz w:val="14"/>
              <w:szCs w:val="14"/>
            </w:rPr>
          </w:pPr>
          <w:r>
            <w:rPr>
              <w:rFonts w:ascii="Lucida Sans Unicode" w:eastAsia="Arial Unicode MS" w:hAnsi="Lucida Sans Unicode"/>
              <w:noProof/>
              <w:color w:val="212123"/>
              <w:spacing w:val="2"/>
              <w:sz w:val="14"/>
              <w:szCs w:val="14"/>
            </w:rPr>
            <w:drawing>
              <wp:inline distT="0" distB="0" distL="0" distR="0">
                <wp:extent cx="62865" cy="6286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2"/>
              <w:sz w:val="14"/>
              <w:szCs w:val="14"/>
            </w:rPr>
            <w:t xml:space="preserve"> MAA- JA METSÄTALOUSMINISTERIÖ</w:t>
          </w:r>
          <w:r w:rsidR="000A0790" w:rsidRPr="00337497">
            <w:rPr>
              <w:rFonts w:ascii="Lucida Sans Unicode" w:eastAsia="Arial Unicode MS" w:hAnsi="Lucida Sans Unicode"/>
              <w:color w:val="212123"/>
              <w:sz w:val="14"/>
              <w:szCs w:val="14"/>
            </w:rPr>
            <w:br/>
          </w:r>
          <w:r w:rsidR="000A0790" w:rsidRPr="00337497">
            <w:rPr>
              <w:rFonts w:ascii="Lucida Sans Unicode" w:eastAsia="Arial Unicode MS" w:hAnsi="Lucida Sans Unicode" w:cs="Lucida Sans Unicode"/>
              <w:color w:val="212123"/>
              <w:spacing w:val="-10"/>
              <w:sz w:val="14"/>
              <w:szCs w:val="14"/>
            </w:rPr>
            <w:t>▴ PL 30, 00023 VALTIONEUVOSTO (Helsinki)</w:t>
          </w:r>
        </w:p>
        <w:p w:rsidR="000A0790" w:rsidRPr="00337497" w:rsidRDefault="000A0790" w:rsidP="000A0790">
          <w:pPr>
            <w:rPr>
              <w:rFonts w:ascii="Lucida Sans Unicode" w:eastAsia="Arial Unicode MS" w:hAnsi="Lucida Sans Unicode" w:cs="Lucida Sans Unicode"/>
              <w:color w:val="212123"/>
              <w:spacing w:val="-6"/>
              <w:sz w:val="14"/>
              <w:szCs w:val="14"/>
            </w:rPr>
          </w:pPr>
          <w:r w:rsidRPr="00337497">
            <w:rPr>
              <w:rFonts w:ascii="Lucida Sans Unicode" w:eastAsia="Arial Unicode MS" w:hAnsi="Lucida Sans Unicode" w:cs="Lucida Sans Unicode"/>
              <w:color w:val="212123"/>
              <w:spacing w:val="-6"/>
              <w:sz w:val="14"/>
              <w:szCs w:val="14"/>
            </w:rPr>
            <w:t xml:space="preserve">▴ puh. </w:t>
          </w:r>
          <w:r w:rsidR="003D570F" w:rsidRPr="003D570F">
            <w:rPr>
              <w:rFonts w:ascii="Lucida Sans Unicode" w:eastAsia="Arial Unicode MS" w:hAnsi="Lucida Sans Unicode" w:cs="Lucida Sans Unicode"/>
              <w:color w:val="212123"/>
              <w:spacing w:val="-6"/>
              <w:sz w:val="14"/>
              <w:szCs w:val="14"/>
            </w:rPr>
            <w:t xml:space="preserve">0295 16 001 </w:t>
          </w:r>
          <w:r w:rsidRPr="00337497">
            <w:rPr>
              <w:rFonts w:ascii="Lucida Sans Unicode" w:eastAsia="Arial Unicode MS" w:hAnsi="Lucida Sans Unicode" w:cs="Lucida Sans Unicode"/>
              <w:color w:val="212123"/>
              <w:spacing w:val="-6"/>
              <w:sz w:val="14"/>
              <w:szCs w:val="14"/>
            </w:rPr>
            <w:t>▴ faksi (09) 160 54202</w:t>
          </w:r>
        </w:p>
      </w:tc>
      <w:tc>
        <w:tcPr>
          <w:tcW w:w="2977" w:type="dxa"/>
        </w:tcPr>
        <w:p w:rsidR="000A0790" w:rsidRPr="00337497" w:rsidRDefault="00A84378" w:rsidP="000A0790">
          <w:pPr>
            <w:rPr>
              <w:rFonts w:ascii="Lucida Sans Unicode" w:eastAsia="Arial Unicode MS" w:hAnsi="Lucida Sans Unicode" w:cs="Lucida Sans Unicode"/>
              <w:color w:val="212123"/>
              <w:spacing w:val="-4"/>
              <w:sz w:val="14"/>
              <w:szCs w:val="14"/>
              <w:lang w:val="sv-FI"/>
            </w:rPr>
          </w:pPr>
          <w:r>
            <w:rPr>
              <w:rFonts w:ascii="Lucida Sans Unicode" w:eastAsia="Arial Unicode MS" w:hAnsi="Lucida Sans Unicode"/>
              <w:noProof/>
              <w:color w:val="212123"/>
              <w:spacing w:val="-4"/>
              <w:sz w:val="14"/>
              <w:szCs w:val="14"/>
            </w:rPr>
            <w:drawing>
              <wp:inline distT="0" distB="0" distL="0" distR="0">
                <wp:extent cx="71120" cy="62865"/>
                <wp:effectExtent l="0" t="0" r="508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4"/>
              <w:sz w:val="14"/>
              <w:szCs w:val="14"/>
              <w:lang w:val="sv-FI"/>
            </w:rPr>
            <w:t xml:space="preserve">  JORD- OCH SKOGSBRUKSMINISTERIET</w:t>
          </w:r>
        </w:p>
        <w:p w:rsidR="000A0790" w:rsidRPr="00337497" w:rsidRDefault="000A0790" w:rsidP="000A0790">
          <w:pPr>
            <w:rPr>
              <w:rFonts w:ascii="Lucida Sans Unicode" w:eastAsia="Arial Unicode MS" w:hAnsi="Lucida Sans Unicode" w:cs="Lucida Sans Unicode"/>
              <w:color w:val="212123"/>
              <w:sz w:val="14"/>
              <w:szCs w:val="14"/>
              <w:lang w:val="sv-FI"/>
            </w:rPr>
          </w:pPr>
          <w:r w:rsidRPr="00337497">
            <w:rPr>
              <w:rFonts w:ascii="Lucida Sans Unicode" w:eastAsia="Arial Unicode MS" w:hAnsi="Lucida Sans Unicode" w:cs="Lucida Sans Unicode"/>
              <w:color w:val="212123"/>
              <w:spacing w:val="-6"/>
              <w:sz w:val="14"/>
              <w:szCs w:val="14"/>
              <w:lang w:val="sv-FI"/>
            </w:rPr>
            <w:t>▴ PB 30, 00023 STATSRÅDET (Helsingfors)</w:t>
          </w:r>
          <w:r w:rsidRPr="00337497">
            <w:rPr>
              <w:rFonts w:ascii="Lucida Sans Unicode" w:eastAsia="Arial Unicode MS" w:hAnsi="Lucida Sans Unicode"/>
              <w:color w:val="212123"/>
              <w:sz w:val="14"/>
              <w:szCs w:val="14"/>
              <w:lang w:val="sv-FI"/>
            </w:rPr>
            <w:br/>
          </w:r>
          <w:r w:rsidRPr="00337497">
            <w:rPr>
              <w:rFonts w:ascii="Lucida Sans Unicode" w:eastAsia="Arial Unicode MS" w:hAnsi="Lucida Sans Unicode" w:cs="Lucida Sans Unicode"/>
              <w:color w:val="212123"/>
              <w:sz w:val="14"/>
              <w:szCs w:val="14"/>
              <w:lang w:val="sv-FI"/>
            </w:rPr>
            <w:t xml:space="preserve">▴ tfn </w:t>
          </w:r>
          <w:r w:rsidR="003D570F" w:rsidRPr="003D570F">
            <w:rPr>
              <w:rFonts w:ascii="Lucida Sans Unicode" w:eastAsia="Arial Unicode MS" w:hAnsi="Lucida Sans Unicode" w:cs="Lucida Sans Unicode"/>
              <w:color w:val="212123"/>
              <w:sz w:val="14"/>
              <w:szCs w:val="14"/>
              <w:lang w:val="sv-FI"/>
            </w:rPr>
            <w:t xml:space="preserve">0295 16 001 </w:t>
          </w:r>
          <w:r w:rsidRPr="00337497">
            <w:rPr>
              <w:rFonts w:ascii="Lucida Sans Unicode" w:eastAsia="Arial Unicode MS" w:hAnsi="Lucida Sans Unicode" w:cs="Lucida Sans Unicode"/>
              <w:color w:val="212123"/>
              <w:sz w:val="14"/>
              <w:szCs w:val="14"/>
              <w:lang w:val="sv-FI"/>
            </w:rPr>
            <w:t>▴ fax (09) 160 54202</w:t>
          </w:r>
        </w:p>
      </w:tc>
      <w:tc>
        <w:tcPr>
          <w:tcW w:w="3969" w:type="dxa"/>
        </w:tcPr>
        <w:p w:rsidR="000A0790" w:rsidRPr="00337497" w:rsidRDefault="00A84378" w:rsidP="000A0790">
          <w:pPr>
            <w:rPr>
              <w:rFonts w:ascii="Lucida Sans Unicode" w:eastAsia="Arial Unicode MS" w:hAnsi="Lucida Sans Unicode"/>
              <w:color w:val="212123"/>
              <w:sz w:val="14"/>
              <w:szCs w:val="14"/>
              <w:lang w:val="en-GB"/>
            </w:rPr>
          </w:pPr>
          <w:r>
            <w:rPr>
              <w:rFonts w:ascii="Lucida Sans Unicode" w:eastAsia="Arial Unicode MS" w:hAnsi="Lucida Sans Unicode"/>
              <w:noProof/>
              <w:color w:val="212123"/>
              <w:spacing w:val="6"/>
              <w:sz w:val="14"/>
              <w:szCs w:val="14"/>
            </w:rPr>
            <w:drawing>
              <wp:inline distT="0" distB="0" distL="0" distR="0">
                <wp:extent cx="71120" cy="62865"/>
                <wp:effectExtent l="0" t="0" r="508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20"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6"/>
              <w:sz w:val="14"/>
              <w:szCs w:val="14"/>
              <w:lang w:val="en-GB"/>
            </w:rPr>
            <w:t xml:space="preserve"> MINISTRY OF AGRICULTURE AND FORESTRY</w:t>
          </w:r>
          <w:r w:rsidR="000A0790" w:rsidRPr="00337497">
            <w:rPr>
              <w:rFonts w:ascii="Lucida Sans Unicode" w:eastAsia="Arial Unicode MS" w:hAnsi="Lucida Sans Unicode"/>
              <w:color w:val="212123"/>
              <w:spacing w:val="4"/>
              <w:sz w:val="14"/>
              <w:szCs w:val="14"/>
              <w:lang w:val="en-GB"/>
            </w:rPr>
            <w:br/>
          </w:r>
          <w:r w:rsidR="000A0790" w:rsidRPr="00337497">
            <w:rPr>
              <w:rFonts w:ascii="Lucida Sans Unicode" w:eastAsia="Arial Unicode MS" w:hAnsi="Lucida Sans Unicode" w:cs="Lucida Sans Unicode"/>
              <w:color w:val="212123"/>
              <w:spacing w:val="-10"/>
              <w:sz w:val="14"/>
              <w:szCs w:val="14"/>
              <w:lang w:val="en-GB"/>
            </w:rPr>
            <w:t xml:space="preserve">▴ </w:t>
          </w:r>
          <w:smartTag w:uri="urn:schemas-microsoft-com:office:smarttags" w:element="address">
            <w:smartTag w:uri="urn:schemas-microsoft-com:office:smarttags" w:element="Street">
              <w:r w:rsidR="000A0790" w:rsidRPr="00337497">
                <w:rPr>
                  <w:rFonts w:ascii="Lucida Sans Unicode" w:eastAsia="Arial Unicode MS" w:hAnsi="Lucida Sans Unicode" w:cs="Lucida Sans Unicode"/>
                  <w:color w:val="212123"/>
                  <w:spacing w:val="-10"/>
                  <w:sz w:val="14"/>
                  <w:szCs w:val="14"/>
                  <w:lang w:val="en-GB"/>
                </w:rPr>
                <w:t>PO Box</w:t>
              </w:r>
            </w:smartTag>
            <w:r w:rsidR="000A0790" w:rsidRPr="00337497">
              <w:rPr>
                <w:rFonts w:ascii="Lucida Sans Unicode" w:eastAsia="Arial Unicode MS" w:hAnsi="Lucida Sans Unicode" w:cs="Lucida Sans Unicode"/>
                <w:color w:val="212123"/>
                <w:spacing w:val="-10"/>
                <w:sz w:val="14"/>
                <w:szCs w:val="14"/>
                <w:lang w:val="en-GB"/>
              </w:rPr>
              <w:t xml:space="preserve"> 30</w:t>
            </w:r>
          </w:smartTag>
          <w:r w:rsidR="000A0790" w:rsidRPr="00337497">
            <w:rPr>
              <w:rFonts w:ascii="Lucida Sans Unicode" w:eastAsia="Arial Unicode MS" w:hAnsi="Lucida Sans Unicode" w:cs="Lucida Sans Unicode"/>
              <w:color w:val="212123"/>
              <w:spacing w:val="-10"/>
              <w:sz w:val="14"/>
              <w:szCs w:val="14"/>
              <w:lang w:val="en-GB"/>
            </w:rPr>
            <w:t xml:space="preserve">, FI-00023 GOVERNMENT, </w:t>
          </w:r>
          <w:smartTag w:uri="urn:schemas-microsoft-com:office:smarttags" w:element="country-region">
            <w:r w:rsidR="000A0790" w:rsidRPr="00337497">
              <w:rPr>
                <w:rFonts w:ascii="Lucida Sans Unicode" w:eastAsia="Arial Unicode MS" w:hAnsi="Lucida Sans Unicode" w:cs="Lucida Sans Unicode"/>
                <w:color w:val="212123"/>
                <w:spacing w:val="-10"/>
                <w:sz w:val="14"/>
                <w:szCs w:val="14"/>
                <w:lang w:val="en-GB"/>
              </w:rPr>
              <w:t>Finland</w:t>
            </w:r>
          </w:smartTag>
          <w:r w:rsidR="000A0790" w:rsidRPr="00337497">
            <w:rPr>
              <w:rFonts w:ascii="Lucida Sans Unicode" w:eastAsia="Arial Unicode MS" w:hAnsi="Lucida Sans Unicode" w:cs="Lucida Sans Unicode"/>
              <w:color w:val="212123"/>
              <w:spacing w:val="-10"/>
              <w:sz w:val="14"/>
              <w:szCs w:val="14"/>
              <w:lang w:val="en-GB"/>
            </w:rPr>
            <w:t xml:space="preserve"> (</w:t>
          </w:r>
          <w:smartTag w:uri="urn:schemas-microsoft-com:office:smarttags" w:element="place">
            <w:smartTag w:uri="urn:schemas-microsoft-com:office:smarttags" w:element="City">
              <w:r w:rsidR="000A0790" w:rsidRPr="00337497">
                <w:rPr>
                  <w:rFonts w:ascii="Lucida Sans Unicode" w:eastAsia="Arial Unicode MS" w:hAnsi="Lucida Sans Unicode" w:cs="Lucida Sans Unicode"/>
                  <w:color w:val="212123"/>
                  <w:spacing w:val="-10"/>
                  <w:sz w:val="14"/>
                  <w:szCs w:val="14"/>
                  <w:lang w:val="en-GB"/>
                </w:rPr>
                <w:t>Helsinki</w:t>
              </w:r>
            </w:smartTag>
          </w:smartTag>
          <w:r w:rsidR="000A0790" w:rsidRPr="00337497">
            <w:rPr>
              <w:rFonts w:ascii="Lucida Sans Unicode" w:eastAsia="Arial Unicode MS" w:hAnsi="Lucida Sans Unicode" w:cs="Lucida Sans Unicode"/>
              <w:color w:val="212123"/>
              <w:spacing w:val="-10"/>
              <w:sz w:val="14"/>
              <w:szCs w:val="14"/>
              <w:lang w:val="en-GB"/>
            </w:rPr>
            <w:t>)</w:t>
          </w:r>
        </w:p>
        <w:p w:rsidR="000A0790" w:rsidRPr="00337497" w:rsidRDefault="000A0790" w:rsidP="000A0790">
          <w:pPr>
            <w:rPr>
              <w:rFonts w:ascii="Lucida Sans Unicode" w:eastAsia="Arial Unicode MS" w:hAnsi="Lucida Sans Unicode"/>
              <w:color w:val="212123"/>
              <w:spacing w:val="4"/>
              <w:sz w:val="14"/>
              <w:szCs w:val="14"/>
              <w:lang w:val="en-GB"/>
            </w:rPr>
          </w:pPr>
          <w:r w:rsidRPr="00337497">
            <w:rPr>
              <w:rFonts w:ascii="Lucida Sans Unicode" w:eastAsia="Arial Unicode MS" w:hAnsi="Lucida Sans Unicode" w:cs="Lucida Sans Unicode"/>
              <w:color w:val="212123"/>
              <w:spacing w:val="4"/>
              <w:sz w:val="14"/>
              <w:szCs w:val="14"/>
              <w:lang w:val="sv-FI"/>
            </w:rPr>
            <w:t xml:space="preserve">▴ tel. +358 </w:t>
          </w:r>
          <w:r w:rsidR="003D570F" w:rsidRPr="003D570F">
            <w:rPr>
              <w:rFonts w:ascii="Lucida Sans Unicode" w:eastAsia="Arial Unicode MS" w:hAnsi="Lucida Sans Unicode" w:cs="Lucida Sans Unicode"/>
              <w:color w:val="212123"/>
              <w:spacing w:val="4"/>
              <w:sz w:val="14"/>
              <w:szCs w:val="14"/>
              <w:lang w:val="sv-FI"/>
            </w:rPr>
            <w:t xml:space="preserve">295 16 001 </w:t>
          </w:r>
          <w:r w:rsidRPr="00337497">
            <w:rPr>
              <w:rFonts w:ascii="Lucida Sans Unicode" w:eastAsia="Arial Unicode MS" w:hAnsi="Lucida Sans Unicode" w:cs="Lucida Sans Unicode"/>
              <w:color w:val="212123"/>
              <w:spacing w:val="4"/>
              <w:sz w:val="14"/>
              <w:szCs w:val="14"/>
              <w:lang w:val="sv-FI"/>
            </w:rPr>
            <w:t>▴ fax +358 9 160 54202</w:t>
          </w:r>
        </w:p>
      </w:tc>
    </w:tr>
  </w:tbl>
  <w:p w:rsidR="00D436E9" w:rsidRPr="000A0790" w:rsidRDefault="00D436E9" w:rsidP="000A0790">
    <w:pPr>
      <w:pStyle w:val="Alatunniste"/>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0F" w:rsidRDefault="003D570F">
      <w:r>
        <w:separator/>
      </w:r>
    </w:p>
  </w:footnote>
  <w:footnote w:type="continuationSeparator" w:id="0">
    <w:p w:rsidR="003D570F" w:rsidRDefault="003D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D436E9">
      <w:trPr>
        <w:cantSplit/>
        <w:trHeight w:hRule="exact" w:val="240"/>
      </w:trPr>
      <w:tc>
        <w:tcPr>
          <w:tcW w:w="5184" w:type="dxa"/>
        </w:tcPr>
        <w:p w:rsidR="00D436E9" w:rsidRDefault="00D436E9"/>
      </w:tc>
      <w:tc>
        <w:tcPr>
          <w:tcW w:w="2592" w:type="dxa"/>
        </w:tcPr>
        <w:p w:rsidR="00D436E9" w:rsidRDefault="00D436E9">
          <w:pPr>
            <w:pStyle w:val="Asiakirjatyyppi"/>
            <w:rPr>
              <w:b w:val="0"/>
              <w:caps w:val="0"/>
            </w:rPr>
          </w:pPr>
        </w:p>
      </w:tc>
      <w:tc>
        <w:tcPr>
          <w:tcW w:w="1296" w:type="dxa"/>
        </w:tcPr>
        <w:p w:rsidR="00D436E9" w:rsidRDefault="00D436E9">
          <w:pPr>
            <w:pStyle w:val="Leiptekstivasen"/>
          </w:pPr>
        </w:p>
      </w:tc>
      <w:tc>
        <w:tcPr>
          <w:tcW w:w="1296" w:type="dxa"/>
        </w:tcPr>
        <w:p w:rsidR="00D436E9" w:rsidRDefault="00D436E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866505">
            <w:rPr>
              <w:rStyle w:val="Sivunumero"/>
              <w:noProof/>
            </w:rPr>
            <w:t>3</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866505">
            <w:rPr>
              <w:rStyle w:val="Sivunumero"/>
              <w:noProof/>
            </w:rPr>
            <w:t>3</w:t>
          </w:r>
          <w:r>
            <w:rPr>
              <w:rStyle w:val="Sivunumero"/>
            </w:rPr>
            <w:fldChar w:fldCharType="end"/>
          </w:r>
          <w:r>
            <w:t>)</w:t>
          </w:r>
        </w:p>
      </w:tc>
    </w:tr>
    <w:tr w:rsidR="00D436E9">
      <w:trPr>
        <w:cantSplit/>
        <w:trHeight w:hRule="exact" w:val="1440"/>
      </w:trPr>
      <w:tc>
        <w:tcPr>
          <w:tcW w:w="5184" w:type="dxa"/>
        </w:tcPr>
        <w:p w:rsidR="00D436E9" w:rsidRDefault="00D436E9"/>
      </w:tc>
      <w:tc>
        <w:tcPr>
          <w:tcW w:w="5184" w:type="dxa"/>
          <w:gridSpan w:val="3"/>
        </w:tcPr>
        <w:p w:rsidR="00D436E9" w:rsidRDefault="00D436E9">
          <w:pPr>
            <w:pStyle w:val="Leiptekstivasen"/>
          </w:pPr>
        </w:p>
      </w:tc>
    </w:tr>
  </w:tbl>
  <w:p w:rsidR="00D436E9" w:rsidRDefault="00D436E9">
    <w:pPr>
      <w:pStyle w:val="Yltunnis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CE403D">
      <w:trPr>
        <w:cantSplit/>
        <w:trHeight w:hRule="exact" w:val="240"/>
      </w:trPr>
      <w:tc>
        <w:tcPr>
          <w:tcW w:w="5184" w:type="dxa"/>
          <w:shd w:val="clear" w:color="auto" w:fill="auto"/>
        </w:tcPr>
        <w:p w:rsidR="00CE403D" w:rsidRDefault="00A84378">
          <w:pPr>
            <w:pStyle w:val="Leiptekstivasen"/>
          </w:pPr>
          <w:r>
            <w:rPr>
              <w:noProof/>
            </w:rPr>
            <w:drawing>
              <wp:anchor distT="0" distB="0" distL="114300" distR="114300" simplePos="0" relativeHeight="251657728" behindDoc="0" locked="0" layoutInCell="1" allowOverlap="1" wp14:anchorId="5931BA7E" wp14:editId="63CC6AAF">
                <wp:simplePos x="0" y="0"/>
                <wp:positionH relativeFrom="page">
                  <wp:posOffset>0</wp:posOffset>
                </wp:positionH>
                <wp:positionV relativeFrom="page">
                  <wp:posOffset>0</wp:posOffset>
                </wp:positionV>
                <wp:extent cx="1975485" cy="527050"/>
                <wp:effectExtent l="0" t="0" r="5715" b="6350"/>
                <wp:wrapNone/>
                <wp:docPr id="12" name="Kuva 12" descr="MMM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527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92" w:type="dxa"/>
        </w:tcPr>
        <w:p w:rsidR="00CE403D" w:rsidRDefault="00536729">
          <w:pPr>
            <w:pStyle w:val="Asiakirjatyyppi"/>
          </w:pPr>
          <w:bookmarkStart w:id="3" w:name="DM_TYPE_ID"/>
          <w:r>
            <w:t>JULKINEN</w:t>
          </w:r>
          <w:bookmarkEnd w:id="3"/>
        </w:p>
      </w:tc>
      <w:tc>
        <w:tcPr>
          <w:tcW w:w="1296" w:type="dxa"/>
          <w:vAlign w:val="bottom"/>
        </w:tcPr>
        <w:p w:rsidR="00CE403D" w:rsidRDefault="00536729">
          <w:pPr>
            <w:pStyle w:val="AsKirjNro"/>
          </w:pPr>
          <w:bookmarkStart w:id="4" w:name="DM_DOCNUM"/>
          <w:r>
            <w:t>236058</w:t>
          </w:r>
          <w:bookmarkEnd w:id="4"/>
        </w:p>
      </w:tc>
      <w:tc>
        <w:tcPr>
          <w:tcW w:w="1296" w:type="dxa"/>
        </w:tcPr>
        <w:p w:rsidR="00CE403D" w:rsidRDefault="00CE403D">
          <w:pPr>
            <w:pStyle w:val="Leiptekstivasen"/>
          </w:pPr>
          <w:r>
            <w:rPr>
              <w:rStyle w:val="Sivunumero"/>
            </w:rPr>
            <w:fldChar w:fldCharType="begin"/>
          </w:r>
          <w:r>
            <w:rPr>
              <w:rStyle w:val="Sivunumero"/>
            </w:rPr>
            <w:instrText xml:space="preserve"> PAGE </w:instrText>
          </w:r>
          <w:r>
            <w:rPr>
              <w:rStyle w:val="Sivunumero"/>
            </w:rPr>
            <w:fldChar w:fldCharType="separate"/>
          </w:r>
          <w:r w:rsidR="00866505">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866505">
            <w:rPr>
              <w:rStyle w:val="Sivunumero"/>
              <w:noProof/>
            </w:rPr>
            <w:t>3</w:t>
          </w:r>
          <w:r>
            <w:rPr>
              <w:rStyle w:val="Sivunumero"/>
            </w:rPr>
            <w:fldChar w:fldCharType="end"/>
          </w:r>
          <w:r>
            <w:t>)</w:t>
          </w:r>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CE403D">
          <w:pPr>
            <w:pStyle w:val="Leiptekstivasen"/>
          </w:pPr>
        </w:p>
      </w:tc>
      <w:tc>
        <w:tcPr>
          <w:tcW w:w="2592" w:type="dxa"/>
          <w:gridSpan w:val="2"/>
        </w:tcPr>
        <w:p w:rsidR="00CE403D" w:rsidRDefault="00CE403D">
          <w:pPr>
            <w:pStyle w:val="Leiptekstivasen"/>
          </w:pPr>
          <w:bookmarkStart w:id="5" w:name="DM_X_REGCODEHARE"/>
          <w:bookmarkEnd w:id="5"/>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6E19FE" w:rsidP="006E19FE">
          <w:pPr>
            <w:pStyle w:val="Leiptekstivasen"/>
          </w:pPr>
          <w:bookmarkStart w:id="6" w:name="DM_CREATION_DATE"/>
          <w:r>
            <w:t>6</w:t>
          </w:r>
          <w:r w:rsidR="00536729">
            <w:t>.</w:t>
          </w:r>
          <w:r>
            <w:t>6</w:t>
          </w:r>
          <w:r w:rsidR="00536729">
            <w:t>.2017</w:t>
          </w:r>
          <w:bookmarkEnd w:id="6"/>
        </w:p>
      </w:tc>
      <w:tc>
        <w:tcPr>
          <w:tcW w:w="2592" w:type="dxa"/>
          <w:gridSpan w:val="2"/>
        </w:tcPr>
        <w:tbl>
          <w:tblPr>
            <w:tblW w:w="10368" w:type="dxa"/>
            <w:tblLayout w:type="fixed"/>
            <w:tblCellMar>
              <w:left w:w="70" w:type="dxa"/>
              <w:right w:w="70" w:type="dxa"/>
            </w:tblCellMar>
            <w:tblLook w:val="00A0" w:firstRow="1" w:lastRow="0" w:firstColumn="1" w:lastColumn="0" w:noHBand="0" w:noVBand="0"/>
          </w:tblPr>
          <w:tblGrid>
            <w:gridCol w:w="10368"/>
          </w:tblGrid>
          <w:tr w:rsidR="006E19FE" w:rsidTr="006E19FE">
            <w:trPr>
              <w:cantSplit/>
              <w:trHeight w:val="240"/>
            </w:trPr>
            <w:tc>
              <w:tcPr>
                <w:tcW w:w="2592" w:type="dxa"/>
              </w:tcPr>
              <w:p w:rsidR="006E19FE" w:rsidRPr="006E19FE" w:rsidRDefault="006E19FE">
                <w:pPr>
                  <w:pStyle w:val="Leiptekstivasen"/>
                </w:pPr>
                <w:bookmarkStart w:id="7" w:name="DM_C_CASENATIVEID"/>
                <w:bookmarkEnd w:id="7"/>
                <w:r w:rsidRPr="006E19FE">
                  <w:rPr>
                    <w:sz w:val="20"/>
                  </w:rPr>
                  <w:t>1119/01.03/2017</w:t>
                </w:r>
              </w:p>
            </w:tc>
          </w:tr>
          <w:tr w:rsidR="006E19FE" w:rsidTr="006E19FE">
            <w:trPr>
              <w:cantSplit/>
              <w:trHeight w:val="240"/>
            </w:trPr>
            <w:tc>
              <w:tcPr>
                <w:tcW w:w="2592" w:type="dxa"/>
                <w:hideMark/>
              </w:tcPr>
              <w:p w:rsidR="006E19FE" w:rsidRDefault="006E19FE">
                <w:pPr>
                  <w:pStyle w:val="Leiptekstivasen"/>
                </w:pPr>
                <w:r>
                  <w:rPr>
                    <w:sz w:val="20"/>
                  </w:rPr>
                  <w:t>1119/01.03/2017</w:t>
                </w:r>
              </w:p>
            </w:tc>
          </w:tr>
        </w:tbl>
        <w:p w:rsidR="00CE403D" w:rsidRDefault="00CE403D">
          <w:pPr>
            <w:pStyle w:val="Leiptekstivasen"/>
          </w:pPr>
        </w:p>
      </w:tc>
    </w:tr>
    <w:tr w:rsidR="00D222D5" w:rsidTr="003A6553">
      <w:trPr>
        <w:cantSplit/>
        <w:trHeight w:hRule="exact" w:val="240"/>
      </w:trPr>
      <w:tc>
        <w:tcPr>
          <w:tcW w:w="5184" w:type="dxa"/>
          <w:shd w:val="clear" w:color="auto" w:fill="auto"/>
        </w:tcPr>
        <w:p w:rsidR="00D222D5" w:rsidRDefault="00D222D5">
          <w:pPr>
            <w:pStyle w:val="Leiptekstivasen"/>
          </w:pPr>
        </w:p>
      </w:tc>
      <w:tc>
        <w:tcPr>
          <w:tcW w:w="2592" w:type="dxa"/>
        </w:tcPr>
        <w:p w:rsidR="00D222D5" w:rsidRDefault="00D222D5">
          <w:pPr>
            <w:pStyle w:val="Leiptekstivasen"/>
          </w:pPr>
        </w:p>
      </w:tc>
      <w:tc>
        <w:tcPr>
          <w:tcW w:w="2592" w:type="dxa"/>
          <w:gridSpan w:val="2"/>
        </w:tcPr>
        <w:p w:rsidR="00D222D5" w:rsidRDefault="00D222D5">
          <w:pPr>
            <w:pStyle w:val="Leiptekstivasen"/>
          </w:pPr>
        </w:p>
      </w:tc>
    </w:tr>
    <w:tr w:rsidR="00D436E9">
      <w:trPr>
        <w:cantSplit/>
        <w:trHeight w:hRule="exact" w:val="720"/>
      </w:trPr>
      <w:tc>
        <w:tcPr>
          <w:tcW w:w="5184" w:type="dxa"/>
        </w:tcPr>
        <w:p w:rsidR="00D436E9" w:rsidRDefault="00D436E9">
          <w:pPr>
            <w:pStyle w:val="Leiptekstivasen"/>
          </w:pPr>
        </w:p>
      </w:tc>
      <w:tc>
        <w:tcPr>
          <w:tcW w:w="2592" w:type="dxa"/>
        </w:tcPr>
        <w:p w:rsidR="00D436E9" w:rsidRDefault="00D436E9">
          <w:pPr>
            <w:pStyle w:val="Leiptekstivasen"/>
          </w:pPr>
        </w:p>
      </w:tc>
      <w:tc>
        <w:tcPr>
          <w:tcW w:w="1296" w:type="dxa"/>
        </w:tcPr>
        <w:p w:rsidR="00D436E9" w:rsidRDefault="00D436E9">
          <w:pPr>
            <w:pStyle w:val="Leiptekstivasen"/>
          </w:pPr>
        </w:p>
      </w:tc>
      <w:tc>
        <w:tcPr>
          <w:tcW w:w="1296" w:type="dxa"/>
        </w:tcPr>
        <w:p w:rsidR="00D436E9" w:rsidRDefault="00D436E9">
          <w:pPr>
            <w:pStyle w:val="Leiptekstivasen"/>
          </w:pPr>
        </w:p>
      </w:tc>
    </w:tr>
  </w:tbl>
  <w:p w:rsidR="00D436E9" w:rsidRDefault="00D436E9">
    <w:pPr>
      <w:pStyle w:val="Yltunnist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0F"/>
    <w:rsid w:val="000A0790"/>
    <w:rsid w:val="000F04A8"/>
    <w:rsid w:val="000F5EB0"/>
    <w:rsid w:val="00125DA6"/>
    <w:rsid w:val="00265AE0"/>
    <w:rsid w:val="002B2838"/>
    <w:rsid w:val="003D0E9E"/>
    <w:rsid w:val="003D570F"/>
    <w:rsid w:val="003F326E"/>
    <w:rsid w:val="004402A4"/>
    <w:rsid w:val="00455DB8"/>
    <w:rsid w:val="00487BA8"/>
    <w:rsid w:val="00536729"/>
    <w:rsid w:val="00580FFE"/>
    <w:rsid w:val="00590F91"/>
    <w:rsid w:val="005C5B36"/>
    <w:rsid w:val="00650D0D"/>
    <w:rsid w:val="006E19FE"/>
    <w:rsid w:val="006E7832"/>
    <w:rsid w:val="006F6F75"/>
    <w:rsid w:val="0075726E"/>
    <w:rsid w:val="007A663C"/>
    <w:rsid w:val="007D3463"/>
    <w:rsid w:val="00866505"/>
    <w:rsid w:val="008A2B3E"/>
    <w:rsid w:val="0092524E"/>
    <w:rsid w:val="009B7D28"/>
    <w:rsid w:val="009D6FC4"/>
    <w:rsid w:val="009F306F"/>
    <w:rsid w:val="00A24374"/>
    <w:rsid w:val="00A84378"/>
    <w:rsid w:val="00AA3DB5"/>
    <w:rsid w:val="00AD2513"/>
    <w:rsid w:val="00B91BA7"/>
    <w:rsid w:val="00BA2A8E"/>
    <w:rsid w:val="00BE015E"/>
    <w:rsid w:val="00BF3BC8"/>
    <w:rsid w:val="00C1387A"/>
    <w:rsid w:val="00C676D6"/>
    <w:rsid w:val="00C85D98"/>
    <w:rsid w:val="00CC0169"/>
    <w:rsid w:val="00CE403D"/>
    <w:rsid w:val="00D05F00"/>
    <w:rsid w:val="00D222D5"/>
    <w:rsid w:val="00D436E9"/>
    <w:rsid w:val="00D5611C"/>
    <w:rsid w:val="00D64346"/>
    <w:rsid w:val="00D74722"/>
    <w:rsid w:val="00D7796C"/>
    <w:rsid w:val="00D8561D"/>
    <w:rsid w:val="00DC1D4B"/>
    <w:rsid w:val="00DC3E35"/>
    <w:rsid w:val="00E01183"/>
    <w:rsid w:val="00EC22DA"/>
    <w:rsid w:val="00F325E4"/>
    <w:rsid w:val="00F54D96"/>
    <w:rsid w:val="00F56E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D8561D"/>
    <w:rPr>
      <w:rFonts w:ascii="Tahoma" w:hAnsi="Tahoma" w:cs="Tahoma"/>
      <w:sz w:val="16"/>
      <w:szCs w:val="16"/>
    </w:rPr>
  </w:style>
  <w:style w:type="character" w:customStyle="1" w:styleId="SelitetekstiChar">
    <w:name w:val="Seliteteksti Char"/>
    <w:basedOn w:val="Kappaleenoletusfontti"/>
    <w:link w:val="Seliteteksti"/>
    <w:rsid w:val="00D85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D8561D"/>
    <w:rPr>
      <w:rFonts w:ascii="Tahoma" w:hAnsi="Tahoma" w:cs="Tahoma"/>
      <w:sz w:val="16"/>
      <w:szCs w:val="16"/>
    </w:rPr>
  </w:style>
  <w:style w:type="character" w:customStyle="1" w:styleId="SelitetekstiChar">
    <w:name w:val="Seliteteksti Char"/>
    <w:basedOn w:val="Kappaleenoletusfontti"/>
    <w:link w:val="Seliteteksti"/>
    <w:rsid w:val="00D85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6095</Characters>
  <Application>Microsoft Office Word</Application>
  <DocSecurity>4</DocSecurity>
  <Lines>50</Lines>
  <Paragraphs>13</Paragraphs>
  <ScaleCrop>false</ScaleCrop>
  <HeadingPairs>
    <vt:vector size="2" baseType="variant">
      <vt:variant>
        <vt:lpstr>Otsikko</vt:lpstr>
      </vt:variant>
      <vt:variant>
        <vt:i4>1</vt:i4>
      </vt:variant>
    </vt:vector>
  </HeadingPairs>
  <TitlesOfParts>
    <vt:vector size="1" baseType="lpstr">
      <vt:lpstr>Muistiomalli</vt:lpstr>
    </vt:vector>
  </TitlesOfParts>
  <Company>Maa- ja Metsätalousministeriö</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Muistiomalli</dc:title>
  <dc:creator>Edita Prima Oy</dc:creator>
  <cp:lastModifiedBy>virolara</cp:lastModifiedBy>
  <cp:revision>2</cp:revision>
  <cp:lastPrinted>2017-06-06T06:10:00Z</cp:lastPrinted>
  <dcterms:created xsi:type="dcterms:W3CDTF">2017-06-07T06:04:00Z</dcterms:created>
  <dcterms:modified xsi:type="dcterms:W3CDTF">2017-06-07T06:04:00Z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MMM#236058#1</vt:lpwstr>
  </property>
</Properties>
</file>