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04" w:rsidRPr="009B1704" w:rsidRDefault="009B1704">
      <w:pPr>
        <w:rPr>
          <w:rFonts w:ascii="Times New Roman" w:hAnsi="Times New Roman" w:cs="Times New Roman"/>
        </w:rPr>
      </w:pPr>
      <w:r w:rsidRPr="009B1704">
        <w:rPr>
          <w:rFonts w:ascii="Times New Roman" w:hAnsi="Times New Roman" w:cs="Times New Roman"/>
        </w:rPr>
        <w:t>MAA- JA METSÄTALOUSMINISTERIÖ</w:t>
      </w:r>
      <w:r w:rsidRPr="009B1704">
        <w:rPr>
          <w:rFonts w:ascii="Times New Roman" w:hAnsi="Times New Roman" w:cs="Times New Roman"/>
        </w:rPr>
        <w:tab/>
      </w:r>
      <w:r w:rsidRPr="009B1704">
        <w:rPr>
          <w:rFonts w:ascii="Times New Roman" w:hAnsi="Times New Roman" w:cs="Times New Roman"/>
        </w:rPr>
        <w:tab/>
        <w:t>Muistio</w:t>
      </w:r>
      <w:r w:rsidR="007A74FE">
        <w:rPr>
          <w:rFonts w:ascii="Times New Roman" w:hAnsi="Times New Roman" w:cs="Times New Roman"/>
        </w:rPr>
        <w:t>luonnos</w:t>
      </w:r>
      <w:r w:rsidR="007A74FE">
        <w:rPr>
          <w:rFonts w:ascii="Times New Roman" w:hAnsi="Times New Roman" w:cs="Times New Roman"/>
        </w:rPr>
        <w:tab/>
      </w:r>
      <w:r w:rsidRPr="009B1704">
        <w:rPr>
          <w:rFonts w:ascii="Times New Roman" w:hAnsi="Times New Roman" w:cs="Times New Roman"/>
        </w:rPr>
        <w:t>Liite 1</w:t>
      </w:r>
      <w:r w:rsidRPr="009B1704">
        <w:rPr>
          <w:rFonts w:ascii="Times New Roman" w:hAnsi="Times New Roman" w:cs="Times New Roman"/>
        </w:rPr>
        <w:br/>
      </w:r>
      <w:r w:rsidRPr="009B1704">
        <w:rPr>
          <w:rFonts w:ascii="Times New Roman" w:hAnsi="Times New Roman" w:cs="Times New Roman"/>
        </w:rPr>
        <w:tab/>
      </w:r>
      <w:r w:rsidRPr="009B1704">
        <w:rPr>
          <w:rFonts w:ascii="Times New Roman" w:hAnsi="Times New Roman" w:cs="Times New Roman"/>
        </w:rPr>
        <w:tab/>
      </w:r>
      <w:r w:rsidRPr="009B1704">
        <w:rPr>
          <w:rFonts w:ascii="Times New Roman" w:hAnsi="Times New Roman" w:cs="Times New Roman"/>
        </w:rPr>
        <w:tab/>
      </w:r>
      <w:r w:rsidRPr="009B1704">
        <w:rPr>
          <w:rFonts w:ascii="Times New Roman" w:hAnsi="Times New Roman" w:cs="Times New Roman"/>
        </w:rPr>
        <w:tab/>
      </w:r>
      <w:r w:rsidR="00C506F5">
        <w:rPr>
          <w:rFonts w:ascii="Times New Roman" w:hAnsi="Times New Roman" w:cs="Times New Roman"/>
        </w:rPr>
        <w:t>23</w:t>
      </w:r>
      <w:r w:rsidR="004A2A6E">
        <w:rPr>
          <w:rFonts w:ascii="Times New Roman" w:hAnsi="Times New Roman" w:cs="Times New Roman"/>
        </w:rPr>
        <w:t>.12.2016</w:t>
      </w:r>
      <w:r w:rsidRPr="009B1704">
        <w:rPr>
          <w:rFonts w:ascii="Times New Roman" w:hAnsi="Times New Roman" w:cs="Times New Roman"/>
        </w:rPr>
        <w:br/>
      </w:r>
      <w:r w:rsidRPr="009B1704">
        <w:rPr>
          <w:rFonts w:ascii="Times New Roman" w:hAnsi="Times New Roman" w:cs="Times New Roman"/>
        </w:rPr>
        <w:tab/>
      </w:r>
      <w:r w:rsidRPr="009B1704">
        <w:rPr>
          <w:rFonts w:ascii="Times New Roman" w:hAnsi="Times New Roman" w:cs="Times New Roman"/>
        </w:rPr>
        <w:tab/>
      </w:r>
      <w:r w:rsidRPr="009B1704">
        <w:rPr>
          <w:rFonts w:ascii="Times New Roman" w:hAnsi="Times New Roman" w:cs="Times New Roman"/>
        </w:rPr>
        <w:tab/>
      </w:r>
      <w:r w:rsidRPr="009B1704">
        <w:rPr>
          <w:rFonts w:ascii="Times New Roman" w:hAnsi="Times New Roman" w:cs="Times New Roman"/>
        </w:rPr>
        <w:tab/>
      </w:r>
    </w:p>
    <w:p w:rsidR="009B1704" w:rsidRDefault="009B1704">
      <w:pPr>
        <w:rPr>
          <w:rFonts w:ascii="Times New Roman" w:hAnsi="Times New Roman" w:cs="Times New Roman"/>
        </w:rPr>
      </w:pPr>
    </w:p>
    <w:p w:rsidR="00F75D4C" w:rsidRPr="00182F9C" w:rsidRDefault="009B1704" w:rsidP="008625D5">
      <w:pPr>
        <w:rPr>
          <w:rFonts w:ascii="Times New Roman" w:hAnsi="Times New Roman" w:cs="Times New Roman"/>
          <w:b/>
        </w:rPr>
      </w:pPr>
      <w:r w:rsidRPr="009B1704">
        <w:rPr>
          <w:rFonts w:ascii="Times New Roman" w:hAnsi="Times New Roman" w:cs="Times New Roman"/>
        </w:rPr>
        <w:t xml:space="preserve">EHDOTUS VALTIONEUSVOSTON ASETUKSEKSI MAASEUDUN YRITYSTUESTA ANNETUN VALTIONEUSVOSTON </w:t>
      </w:r>
      <w:r w:rsidR="00F75D4C">
        <w:rPr>
          <w:rFonts w:ascii="Times New Roman" w:hAnsi="Times New Roman" w:cs="Times New Roman"/>
        </w:rPr>
        <w:t>ASETUKSEN (80/2015</w:t>
      </w:r>
      <w:r w:rsidRPr="009B1704">
        <w:rPr>
          <w:rFonts w:ascii="Times New Roman" w:hAnsi="Times New Roman" w:cs="Times New Roman"/>
        </w:rPr>
        <w:t>) MUUTTAMISESTA</w:t>
      </w:r>
      <w:r w:rsidRPr="009B1704">
        <w:rPr>
          <w:rFonts w:ascii="Times New Roman" w:hAnsi="Times New Roman" w:cs="Times New Roman"/>
        </w:rPr>
        <w:br/>
      </w:r>
    </w:p>
    <w:p w:rsidR="00F75D4C" w:rsidRPr="00F75D4C" w:rsidRDefault="008625D5" w:rsidP="00F75D4C">
      <w:pPr>
        <w:rPr>
          <w:rFonts w:ascii="Times New Roman" w:hAnsi="Times New Roman" w:cs="Times New Roman"/>
          <w:b/>
        </w:rPr>
      </w:pPr>
      <w:r w:rsidRPr="00F75D4C">
        <w:rPr>
          <w:rFonts w:ascii="Times New Roman" w:hAnsi="Times New Roman" w:cs="Times New Roman"/>
          <w:b/>
        </w:rPr>
        <w:t>Yksityiskohtaiset perustelut</w:t>
      </w:r>
    </w:p>
    <w:p w:rsidR="005E7D45" w:rsidRPr="005E7D45" w:rsidRDefault="005E7D45" w:rsidP="00182F9C">
      <w:pPr>
        <w:ind w:left="1304"/>
        <w:rPr>
          <w:rFonts w:ascii="Times New Roman" w:hAnsi="Times New Roman" w:cs="Times New Roman"/>
        </w:rPr>
      </w:pPr>
      <w:r>
        <w:rPr>
          <w:rFonts w:ascii="Times New Roman" w:hAnsi="Times New Roman" w:cs="Times New Roman"/>
        </w:rPr>
        <w:t>8 §</w:t>
      </w:r>
      <w:r w:rsidR="004E667F">
        <w:rPr>
          <w:rFonts w:ascii="Times New Roman" w:hAnsi="Times New Roman" w:cs="Times New Roman"/>
        </w:rPr>
        <w:t>.</w:t>
      </w:r>
      <w:r>
        <w:rPr>
          <w:rFonts w:ascii="Times New Roman" w:hAnsi="Times New Roman" w:cs="Times New Roman"/>
        </w:rPr>
        <w:t xml:space="preserve"> </w:t>
      </w:r>
      <w:r w:rsidRPr="004E667F">
        <w:rPr>
          <w:rFonts w:ascii="Times New Roman" w:hAnsi="Times New Roman" w:cs="Times New Roman"/>
          <w:i/>
        </w:rPr>
        <w:t>Valtiontukea ko</w:t>
      </w:r>
      <w:r w:rsidR="004E667F" w:rsidRPr="004E667F">
        <w:rPr>
          <w:rFonts w:ascii="Times New Roman" w:hAnsi="Times New Roman" w:cs="Times New Roman"/>
          <w:i/>
        </w:rPr>
        <w:t>skevien säännösten soveltaminen.</w:t>
      </w:r>
    </w:p>
    <w:p w:rsidR="00117AC2" w:rsidRDefault="00A154F4" w:rsidP="00182F9C">
      <w:pPr>
        <w:ind w:left="1304"/>
        <w:jc w:val="both"/>
        <w:rPr>
          <w:rFonts w:ascii="Times New Roman" w:hAnsi="Times New Roman" w:cs="Times New Roman"/>
        </w:rPr>
      </w:pPr>
      <w:r>
        <w:rPr>
          <w:rFonts w:ascii="Times New Roman" w:hAnsi="Times New Roman" w:cs="Times New Roman"/>
        </w:rPr>
        <w:t xml:space="preserve">Pykälän </w:t>
      </w:r>
      <w:r w:rsidR="00183788">
        <w:rPr>
          <w:rFonts w:ascii="Times New Roman" w:hAnsi="Times New Roman" w:cs="Times New Roman"/>
        </w:rPr>
        <w:t xml:space="preserve">3 momenttiin </w:t>
      </w:r>
      <w:r>
        <w:rPr>
          <w:rFonts w:ascii="Times New Roman" w:hAnsi="Times New Roman" w:cs="Times New Roman"/>
        </w:rPr>
        <w:t>lisättäisiin viittaus vähämerkityksistä tukea koskevaa</w:t>
      </w:r>
      <w:r w:rsidR="004A2A6E">
        <w:rPr>
          <w:rFonts w:ascii="Times New Roman" w:hAnsi="Times New Roman" w:cs="Times New Roman"/>
        </w:rPr>
        <w:t xml:space="preserve">n asetukseen, jotta tuki </w:t>
      </w:r>
      <w:r w:rsidR="0093405E">
        <w:rPr>
          <w:rFonts w:ascii="Times New Roman" w:hAnsi="Times New Roman" w:cs="Times New Roman"/>
        </w:rPr>
        <w:t xml:space="preserve">ilman kiinteää tieyhteyttä olevilla saarilla </w:t>
      </w:r>
      <w:r w:rsidR="004A2A6E">
        <w:rPr>
          <w:rFonts w:ascii="Times New Roman" w:hAnsi="Times New Roman" w:cs="Times New Roman"/>
        </w:rPr>
        <w:t>voitaisiin</w:t>
      </w:r>
      <w:r>
        <w:rPr>
          <w:rFonts w:ascii="Times New Roman" w:hAnsi="Times New Roman" w:cs="Times New Roman"/>
        </w:rPr>
        <w:t xml:space="preserve"> myöntää </w:t>
      </w:r>
      <w:r w:rsidR="003F286A">
        <w:rPr>
          <w:rFonts w:ascii="Times New Roman" w:hAnsi="Times New Roman" w:cs="Times New Roman"/>
        </w:rPr>
        <w:t xml:space="preserve">asetuksen 27 §:n 1 momentin 2 kohdan mukaista </w:t>
      </w:r>
      <w:r w:rsidR="00E86BCF">
        <w:rPr>
          <w:rFonts w:ascii="Times New Roman" w:hAnsi="Times New Roman" w:cs="Times New Roman"/>
        </w:rPr>
        <w:t>35 %:n tukitasoa</w:t>
      </w:r>
      <w:r w:rsidR="003F286A">
        <w:rPr>
          <w:rFonts w:ascii="Times New Roman" w:hAnsi="Times New Roman" w:cs="Times New Roman"/>
        </w:rPr>
        <w:t xml:space="preserve"> noudattaen jalostettaessa maataloustuotteita muiksi kuin maataloustuotteiksi. </w:t>
      </w:r>
    </w:p>
    <w:p w:rsidR="00117AC2" w:rsidRDefault="00F2634E" w:rsidP="00117AC2">
      <w:pPr>
        <w:ind w:left="1304"/>
        <w:jc w:val="both"/>
        <w:rPr>
          <w:rFonts w:ascii="Times New Roman" w:hAnsi="Times New Roman" w:cs="Times New Roman"/>
        </w:rPr>
      </w:pPr>
      <w:r w:rsidRPr="00E4561B">
        <w:rPr>
          <w:rFonts w:ascii="Times New Roman" w:hAnsi="Times New Roman" w:cs="Times New Roman"/>
        </w:rPr>
        <w:t>Pykälän 5 momenttia täydennettäisiin siten, että</w:t>
      </w:r>
      <w:r w:rsidR="00E4561B" w:rsidRPr="00E4561B">
        <w:rPr>
          <w:rFonts w:ascii="Times New Roman" w:hAnsi="Times New Roman" w:cs="Times New Roman"/>
        </w:rPr>
        <w:t xml:space="preserve"> pellettejä, brikettejä</w:t>
      </w:r>
      <w:r w:rsidR="00183788" w:rsidRPr="00E4561B">
        <w:rPr>
          <w:rFonts w:ascii="Times New Roman" w:hAnsi="Times New Roman" w:cs="Times New Roman"/>
        </w:rPr>
        <w:t xml:space="preserve"> ja </w:t>
      </w:r>
      <w:r w:rsidR="00E4561B" w:rsidRPr="00E4561B">
        <w:rPr>
          <w:rFonts w:ascii="Times New Roman" w:hAnsi="Times New Roman" w:cs="Times New Roman"/>
        </w:rPr>
        <w:t xml:space="preserve">biohiiltä sekä muita pidemmälle jalostettuja kiinteitä polttoaineita </w:t>
      </w:r>
      <w:r w:rsidRPr="00E4561B">
        <w:rPr>
          <w:rFonts w:ascii="Times New Roman" w:hAnsi="Times New Roman" w:cs="Times New Roman"/>
        </w:rPr>
        <w:t>koskevia investointeja tuettaessa noudatettaisiin tukialueesta riippumatta yleisen ryhmäpoikkeusasetuksen 17 artiklaa, joka mah</w:t>
      </w:r>
      <w:r w:rsidR="00117AC2">
        <w:rPr>
          <w:rFonts w:ascii="Times New Roman" w:hAnsi="Times New Roman" w:cs="Times New Roman"/>
        </w:rPr>
        <w:t xml:space="preserve">dollistaa 20 %:n tukitason. </w:t>
      </w:r>
      <w:r w:rsidRPr="00E4561B">
        <w:rPr>
          <w:rFonts w:ascii="Times New Roman" w:hAnsi="Times New Roman" w:cs="Times New Roman"/>
        </w:rPr>
        <w:t>Lisäksi p</w:t>
      </w:r>
      <w:r w:rsidR="00A154F4" w:rsidRPr="00E4561B">
        <w:rPr>
          <w:rFonts w:ascii="Times New Roman" w:hAnsi="Times New Roman" w:cs="Times New Roman"/>
        </w:rPr>
        <w:t xml:space="preserve">ykälän </w:t>
      </w:r>
      <w:r w:rsidR="00183788" w:rsidRPr="00E4561B">
        <w:rPr>
          <w:rFonts w:ascii="Times New Roman" w:hAnsi="Times New Roman" w:cs="Times New Roman"/>
        </w:rPr>
        <w:t>5 momenttiin</w:t>
      </w:r>
      <w:r w:rsidR="00A154F4" w:rsidRPr="00E4561B">
        <w:rPr>
          <w:rFonts w:ascii="Times New Roman" w:hAnsi="Times New Roman" w:cs="Times New Roman"/>
        </w:rPr>
        <w:t xml:space="preserve"> lisättäisiin viittaus vähämerkityksistä tukea kosk</w:t>
      </w:r>
      <w:r w:rsidR="00245A19" w:rsidRPr="00E4561B">
        <w:rPr>
          <w:rFonts w:ascii="Times New Roman" w:hAnsi="Times New Roman" w:cs="Times New Roman"/>
        </w:rPr>
        <w:t>evaan asetukseen, jota noudatettaisiin</w:t>
      </w:r>
      <w:r w:rsidR="00A154F4" w:rsidRPr="00E4561B">
        <w:rPr>
          <w:rFonts w:ascii="Times New Roman" w:hAnsi="Times New Roman" w:cs="Times New Roman"/>
        </w:rPr>
        <w:t xml:space="preserve"> myönnettäessä tukea </w:t>
      </w:r>
      <w:r w:rsidR="00E001DF" w:rsidRPr="00E4561B">
        <w:rPr>
          <w:rFonts w:ascii="Times New Roman" w:hAnsi="Times New Roman" w:cs="Times New Roman"/>
        </w:rPr>
        <w:t xml:space="preserve">tukialueesta riippumatta </w:t>
      </w:r>
      <w:r w:rsidR="00117AC2">
        <w:rPr>
          <w:rFonts w:ascii="Times New Roman" w:hAnsi="Times New Roman" w:cs="Times New Roman"/>
        </w:rPr>
        <w:t>po</w:t>
      </w:r>
      <w:r w:rsidR="00117AC2" w:rsidRPr="00117AC2">
        <w:rPr>
          <w:rFonts w:ascii="Times New Roman" w:hAnsi="Times New Roman" w:cs="Times New Roman"/>
        </w:rPr>
        <w:t>lttopuun,</w:t>
      </w:r>
      <w:r w:rsidR="00E8430F">
        <w:rPr>
          <w:rFonts w:ascii="Times New Roman" w:hAnsi="Times New Roman" w:cs="Times New Roman"/>
          <w:color w:val="FF0000"/>
        </w:rPr>
        <w:t xml:space="preserve"> </w:t>
      </w:r>
      <w:r w:rsidR="00E8430F" w:rsidRPr="00E8430F">
        <w:rPr>
          <w:rFonts w:ascii="Times New Roman" w:hAnsi="Times New Roman" w:cs="Times New Roman"/>
        </w:rPr>
        <w:t>m</w:t>
      </w:r>
      <w:r w:rsidR="00D92BB9" w:rsidRPr="00E8430F">
        <w:rPr>
          <w:rFonts w:ascii="Times New Roman" w:hAnsi="Times New Roman" w:cs="Times New Roman"/>
        </w:rPr>
        <w:t>etsähakkeen</w:t>
      </w:r>
      <w:r w:rsidR="00E8430F">
        <w:rPr>
          <w:rFonts w:ascii="Times New Roman" w:hAnsi="Times New Roman" w:cs="Times New Roman"/>
        </w:rPr>
        <w:t xml:space="preserve"> (pienpuu, hakkuutähteet ja kannot)</w:t>
      </w:r>
      <w:r w:rsidR="00117AC2" w:rsidRPr="00117AC2">
        <w:rPr>
          <w:rFonts w:ascii="Times New Roman" w:hAnsi="Times New Roman" w:cs="Times New Roman"/>
        </w:rPr>
        <w:t>, puuperäisten kierrätyspolttoaineiden ja muiden kiinteiden puupohjaisten po</w:t>
      </w:r>
      <w:r w:rsidR="00117AC2">
        <w:rPr>
          <w:rFonts w:ascii="Times New Roman" w:hAnsi="Times New Roman" w:cs="Times New Roman"/>
        </w:rPr>
        <w:t xml:space="preserve">lttoaineiden tuotantoa koskeviin investointeihin </w:t>
      </w:r>
      <w:r w:rsidR="00117AC2" w:rsidRPr="00E4561B">
        <w:rPr>
          <w:rFonts w:ascii="Times New Roman" w:hAnsi="Times New Roman" w:cs="Times New Roman"/>
        </w:rPr>
        <w:t>20 %:n tukitasolla</w:t>
      </w:r>
      <w:r w:rsidR="00117AC2">
        <w:rPr>
          <w:rFonts w:ascii="Times New Roman" w:hAnsi="Times New Roman" w:cs="Times New Roman"/>
        </w:rPr>
        <w:t>.</w:t>
      </w:r>
      <w:r w:rsidR="00117AC2" w:rsidRPr="00117AC2">
        <w:rPr>
          <w:rFonts w:ascii="Times New Roman" w:hAnsi="Times New Roman" w:cs="Times New Roman"/>
        </w:rPr>
        <w:t xml:space="preserve"> </w:t>
      </w:r>
      <w:r w:rsidR="00D92BB9">
        <w:rPr>
          <w:rFonts w:ascii="Times New Roman" w:hAnsi="Times New Roman" w:cs="Times New Roman"/>
        </w:rPr>
        <w:t>Edellä mainittuja investointeja koskevat tukitasot määriteltäisiin 27 pykälässä (</w:t>
      </w:r>
      <w:r w:rsidR="00D92BB9" w:rsidRPr="00D92BB9">
        <w:rPr>
          <w:rFonts w:ascii="Times New Roman" w:hAnsi="Times New Roman" w:cs="Times New Roman"/>
        </w:rPr>
        <w:t>Investointituen määrä</w:t>
      </w:r>
      <w:r w:rsidR="00D92BB9">
        <w:rPr>
          <w:rFonts w:ascii="Times New Roman" w:hAnsi="Times New Roman" w:cs="Times New Roman"/>
        </w:rPr>
        <w:t>).</w:t>
      </w:r>
    </w:p>
    <w:p w:rsidR="00117AC2" w:rsidRPr="00F75D4C" w:rsidRDefault="00117AC2" w:rsidP="00182F9C">
      <w:pPr>
        <w:ind w:left="1304"/>
        <w:jc w:val="both"/>
        <w:rPr>
          <w:rFonts w:ascii="Times New Roman" w:hAnsi="Times New Roman" w:cs="Times New Roman"/>
        </w:rPr>
      </w:pPr>
      <w:r>
        <w:rPr>
          <w:rFonts w:ascii="Times New Roman" w:hAnsi="Times New Roman" w:cs="Times New Roman"/>
        </w:rPr>
        <w:t xml:space="preserve">Kyseessä ei ole varsinainen muutos tukijärjestelmään, sillä nämä asiat on alun perin todettu valtiontukea koskevien säännösten soveltamista koskevissa asetusmuistion perusteluissa ja tuodaan nyt asetuksen pykäliin. </w:t>
      </w:r>
      <w:r w:rsidR="005E7B17">
        <w:rPr>
          <w:rFonts w:ascii="Times New Roman" w:hAnsi="Times New Roman" w:cs="Times New Roman"/>
        </w:rPr>
        <w:t xml:space="preserve">Täsmennykset asetukseen vastaavat tämänhetkistä </w:t>
      </w:r>
      <w:r w:rsidR="00E8430F">
        <w:rPr>
          <w:rFonts w:ascii="Times New Roman" w:hAnsi="Times New Roman" w:cs="Times New Roman"/>
        </w:rPr>
        <w:t>käytäntöä</w:t>
      </w:r>
      <w:r w:rsidR="005E7B17">
        <w:rPr>
          <w:rFonts w:ascii="Times New Roman" w:hAnsi="Times New Roman" w:cs="Times New Roman"/>
        </w:rPr>
        <w:t xml:space="preserve"> siitä, miten valtiontukisääntöjä voidaan soveltaa edellä mai</w:t>
      </w:r>
      <w:r>
        <w:rPr>
          <w:rFonts w:ascii="Times New Roman" w:hAnsi="Times New Roman" w:cs="Times New Roman"/>
        </w:rPr>
        <w:t>nittuihin investointeihin. Puun</w:t>
      </w:r>
      <w:r w:rsidR="005E7B17">
        <w:rPr>
          <w:rFonts w:ascii="Times New Roman" w:hAnsi="Times New Roman" w:cs="Times New Roman"/>
        </w:rPr>
        <w:t>korjuu-</w:t>
      </w:r>
      <w:r>
        <w:rPr>
          <w:rFonts w:ascii="Times New Roman" w:hAnsi="Times New Roman" w:cs="Times New Roman"/>
        </w:rPr>
        <w:t>,</w:t>
      </w:r>
      <w:r w:rsidR="005E7B17">
        <w:rPr>
          <w:rFonts w:ascii="Times New Roman" w:hAnsi="Times New Roman" w:cs="Times New Roman"/>
        </w:rPr>
        <w:t xml:space="preserve"> haketus</w:t>
      </w:r>
      <w:r>
        <w:rPr>
          <w:rFonts w:ascii="Times New Roman" w:hAnsi="Times New Roman" w:cs="Times New Roman"/>
        </w:rPr>
        <w:t>-</w:t>
      </w:r>
      <w:r w:rsidR="005E7B17">
        <w:rPr>
          <w:rFonts w:ascii="Times New Roman" w:hAnsi="Times New Roman" w:cs="Times New Roman"/>
        </w:rPr>
        <w:t xml:space="preserve"> ja kuljetusketjuun liittyviä investointeja </w:t>
      </w:r>
      <w:r w:rsidR="00E4561B">
        <w:rPr>
          <w:rFonts w:ascii="Times New Roman" w:hAnsi="Times New Roman" w:cs="Times New Roman"/>
        </w:rPr>
        <w:t xml:space="preserve">ei tueta tällä hetkellä muista tukijärjestelmistä pois lukien </w:t>
      </w:r>
      <w:r w:rsidR="005E7B17">
        <w:rPr>
          <w:rFonts w:ascii="Times New Roman" w:hAnsi="Times New Roman" w:cs="Times New Roman"/>
        </w:rPr>
        <w:t xml:space="preserve">uuden teknologian hankkeet. </w:t>
      </w:r>
    </w:p>
    <w:p w:rsidR="00732F95" w:rsidRPr="0038686B" w:rsidRDefault="003F286A" w:rsidP="00182F9C">
      <w:pPr>
        <w:ind w:left="1304"/>
        <w:jc w:val="both"/>
        <w:rPr>
          <w:rFonts w:ascii="Times New Roman" w:eastAsia="Times New Roman" w:hAnsi="Times New Roman" w:cs="Times New Roman"/>
          <w:i/>
          <w:szCs w:val="24"/>
          <w:lang w:eastAsia="fi-FI"/>
        </w:rPr>
      </w:pPr>
      <w:r w:rsidRPr="003F286A">
        <w:rPr>
          <w:rFonts w:ascii="Times New Roman" w:eastAsia="Times New Roman" w:hAnsi="Times New Roman" w:cs="Times New Roman"/>
          <w:szCs w:val="24"/>
          <w:lang w:eastAsia="fi-FI"/>
        </w:rPr>
        <w:t>9 §</w:t>
      </w:r>
      <w:r>
        <w:rPr>
          <w:rFonts w:ascii="Times New Roman" w:eastAsia="Times New Roman" w:hAnsi="Times New Roman" w:cs="Times New Roman"/>
          <w:szCs w:val="24"/>
          <w:lang w:eastAsia="fi-FI"/>
        </w:rPr>
        <w:t>.</w:t>
      </w:r>
      <w:r>
        <w:rPr>
          <w:rFonts w:ascii="Times New Roman" w:hAnsi="Times New Roman" w:cs="Times New Roman"/>
        </w:rPr>
        <w:t xml:space="preserve"> </w:t>
      </w:r>
      <w:r w:rsidRPr="003F286A">
        <w:rPr>
          <w:rFonts w:ascii="Times New Roman" w:eastAsia="Times New Roman" w:hAnsi="Times New Roman" w:cs="Times New Roman"/>
          <w:i/>
          <w:szCs w:val="24"/>
          <w:lang w:eastAsia="fi-FI"/>
        </w:rPr>
        <w:t>Yrityksen perustamistuella tuettava toiminta</w:t>
      </w:r>
      <w:r>
        <w:rPr>
          <w:rFonts w:ascii="Times New Roman" w:eastAsia="Times New Roman" w:hAnsi="Times New Roman" w:cs="Times New Roman"/>
          <w:i/>
          <w:szCs w:val="24"/>
          <w:lang w:eastAsia="fi-FI"/>
        </w:rPr>
        <w:t>.</w:t>
      </w:r>
      <w:r w:rsidR="000573DC">
        <w:rPr>
          <w:rFonts w:ascii="Times New Roman" w:eastAsia="Times New Roman" w:hAnsi="Times New Roman" w:cs="Times New Roman"/>
          <w:szCs w:val="24"/>
          <w:lang w:eastAsia="fi-FI"/>
        </w:rPr>
        <w:t xml:space="preserve"> </w:t>
      </w:r>
    </w:p>
    <w:p w:rsidR="000573DC" w:rsidRDefault="0038686B" w:rsidP="00182F9C">
      <w:pPr>
        <w:ind w:left="1304"/>
        <w:jc w:val="both"/>
        <w:rPr>
          <w:rFonts w:ascii="Times New Roman" w:eastAsia="Times New Roman" w:hAnsi="Times New Roman" w:cs="Times New Roman"/>
          <w:szCs w:val="24"/>
          <w:lang w:eastAsia="fi-FI"/>
        </w:rPr>
      </w:pPr>
      <w:r>
        <w:rPr>
          <w:rFonts w:ascii="Times New Roman" w:eastAsia="Times New Roman" w:hAnsi="Times New Roman" w:cs="Times New Roman"/>
          <w:szCs w:val="24"/>
          <w:lang w:eastAsia="fi-FI"/>
        </w:rPr>
        <w:t>P</w:t>
      </w:r>
      <w:r w:rsidR="003F286A">
        <w:rPr>
          <w:rFonts w:ascii="Times New Roman" w:eastAsia="Times New Roman" w:hAnsi="Times New Roman" w:cs="Times New Roman"/>
          <w:szCs w:val="24"/>
          <w:lang w:eastAsia="fi-FI"/>
        </w:rPr>
        <w:t xml:space="preserve">ykälän </w:t>
      </w:r>
      <w:r w:rsidR="00D155DD">
        <w:rPr>
          <w:rFonts w:ascii="Times New Roman" w:eastAsia="Times New Roman" w:hAnsi="Times New Roman" w:cs="Times New Roman"/>
          <w:szCs w:val="24"/>
          <w:lang w:eastAsia="fi-FI"/>
        </w:rPr>
        <w:t>4</w:t>
      </w:r>
      <w:r w:rsidR="003F286A">
        <w:rPr>
          <w:rFonts w:ascii="Times New Roman" w:eastAsia="Times New Roman" w:hAnsi="Times New Roman" w:cs="Times New Roman"/>
          <w:szCs w:val="24"/>
          <w:lang w:eastAsia="fi-FI"/>
        </w:rPr>
        <w:t xml:space="preserve"> momenttia täsmennettäisiin siten, että siinä viitataan uuden yrityksen perustamiseen. Tämä on tarpeen, jotta pykälää ei tulkittaisi </w:t>
      </w:r>
      <w:r w:rsidR="00D92BB9">
        <w:rPr>
          <w:rFonts w:ascii="Times New Roman" w:eastAsia="Times New Roman" w:hAnsi="Times New Roman" w:cs="Times New Roman"/>
          <w:szCs w:val="24"/>
          <w:lang w:eastAsia="fi-FI"/>
        </w:rPr>
        <w:t>siten</w:t>
      </w:r>
      <w:r w:rsidR="003F286A">
        <w:rPr>
          <w:rFonts w:ascii="Times New Roman" w:eastAsia="Times New Roman" w:hAnsi="Times New Roman" w:cs="Times New Roman"/>
          <w:szCs w:val="24"/>
          <w:lang w:eastAsia="fi-FI"/>
        </w:rPr>
        <w:t xml:space="preserve">, että </w:t>
      </w:r>
      <w:r w:rsidR="00A576CE">
        <w:rPr>
          <w:rFonts w:ascii="Times New Roman" w:eastAsia="Times New Roman" w:hAnsi="Times New Roman" w:cs="Times New Roman"/>
          <w:szCs w:val="24"/>
          <w:lang w:eastAsia="fi-FI"/>
        </w:rPr>
        <w:t>starttirahapäätöksen ennen j</w:t>
      </w:r>
      <w:r w:rsidR="00A576CE" w:rsidRPr="003F286A">
        <w:rPr>
          <w:rFonts w:ascii="Times New Roman" w:eastAsia="Times New Roman" w:hAnsi="Times New Roman" w:cs="Times New Roman"/>
          <w:szCs w:val="24"/>
          <w:lang w:eastAsia="fi-FI"/>
        </w:rPr>
        <w:t>ulkisesta työvoima- ja yrityspalvelus</w:t>
      </w:r>
      <w:r w:rsidR="00A576CE">
        <w:rPr>
          <w:rFonts w:ascii="Times New Roman" w:eastAsia="Times New Roman" w:hAnsi="Times New Roman" w:cs="Times New Roman"/>
          <w:szCs w:val="24"/>
          <w:lang w:eastAsia="fi-FI"/>
        </w:rPr>
        <w:t xml:space="preserve">ta annetun </w:t>
      </w:r>
      <w:r w:rsidR="000573DC">
        <w:rPr>
          <w:rFonts w:ascii="Times New Roman" w:eastAsia="Times New Roman" w:hAnsi="Times New Roman" w:cs="Times New Roman"/>
          <w:szCs w:val="24"/>
          <w:lang w:eastAsia="fi-FI"/>
        </w:rPr>
        <w:t xml:space="preserve">lain </w:t>
      </w:r>
      <w:r w:rsidR="00A576CE">
        <w:rPr>
          <w:rFonts w:ascii="Times New Roman" w:eastAsia="Times New Roman" w:hAnsi="Times New Roman" w:cs="Times New Roman"/>
          <w:szCs w:val="24"/>
          <w:lang w:eastAsia="fi-FI"/>
        </w:rPr>
        <w:t xml:space="preserve">(916/2012) voimaan </w:t>
      </w:r>
      <w:r>
        <w:rPr>
          <w:rFonts w:ascii="Times New Roman" w:eastAsia="Times New Roman" w:hAnsi="Times New Roman" w:cs="Times New Roman"/>
          <w:szCs w:val="24"/>
          <w:lang w:eastAsia="fi-FI"/>
        </w:rPr>
        <w:t>tuloa saanut, nykyisellään</w:t>
      </w:r>
      <w:r w:rsidR="00A576CE">
        <w:rPr>
          <w:rFonts w:ascii="Times New Roman" w:eastAsia="Times New Roman" w:hAnsi="Times New Roman" w:cs="Times New Roman"/>
          <w:szCs w:val="24"/>
          <w:lang w:eastAsia="fi-FI"/>
        </w:rPr>
        <w:t xml:space="preserve"> toimivaks</w:t>
      </w:r>
      <w:r>
        <w:rPr>
          <w:rFonts w:ascii="Times New Roman" w:eastAsia="Times New Roman" w:hAnsi="Times New Roman" w:cs="Times New Roman"/>
          <w:szCs w:val="24"/>
          <w:lang w:eastAsia="fi-FI"/>
        </w:rPr>
        <w:t>i yritykseksi katsottava yritys,</w:t>
      </w:r>
      <w:r w:rsidR="00A576CE">
        <w:rPr>
          <w:rFonts w:ascii="Times New Roman" w:eastAsia="Times New Roman" w:hAnsi="Times New Roman" w:cs="Times New Roman"/>
          <w:szCs w:val="24"/>
          <w:lang w:eastAsia="fi-FI"/>
        </w:rPr>
        <w:t xml:space="preserve"> ei</w:t>
      </w:r>
      <w:r>
        <w:rPr>
          <w:rFonts w:ascii="Times New Roman" w:eastAsia="Times New Roman" w:hAnsi="Times New Roman" w:cs="Times New Roman"/>
          <w:szCs w:val="24"/>
          <w:lang w:eastAsia="fi-FI"/>
        </w:rPr>
        <w:t xml:space="preserve"> myöhemmin </w:t>
      </w:r>
      <w:r w:rsidR="00A576CE">
        <w:rPr>
          <w:rFonts w:ascii="Times New Roman" w:eastAsia="Times New Roman" w:hAnsi="Times New Roman" w:cs="Times New Roman"/>
          <w:szCs w:val="24"/>
          <w:lang w:eastAsia="fi-FI"/>
        </w:rPr>
        <w:t>starttirahan saamisen jälkeen voisi saada yrityksen perustamistukea toimintansa uudistamiseksi. Laki</w:t>
      </w:r>
      <w:r w:rsidR="00A576CE" w:rsidRPr="003F286A">
        <w:rPr>
          <w:rFonts w:ascii="Times New Roman" w:eastAsia="Times New Roman" w:hAnsi="Times New Roman" w:cs="Times New Roman"/>
          <w:szCs w:val="24"/>
          <w:lang w:eastAsia="fi-FI"/>
        </w:rPr>
        <w:t xml:space="preserve"> (916/2012)</w:t>
      </w:r>
      <w:r w:rsidR="00A576CE">
        <w:rPr>
          <w:rFonts w:ascii="Times New Roman" w:eastAsia="Times New Roman" w:hAnsi="Times New Roman" w:cs="Times New Roman"/>
          <w:szCs w:val="24"/>
          <w:lang w:eastAsia="fi-FI"/>
        </w:rPr>
        <w:t xml:space="preserve"> tuli voimaan 1.1.2013.</w:t>
      </w:r>
      <w:r w:rsidR="000573DC">
        <w:rPr>
          <w:rFonts w:ascii="Times New Roman" w:eastAsia="Times New Roman" w:hAnsi="Times New Roman" w:cs="Times New Roman"/>
          <w:szCs w:val="24"/>
          <w:lang w:eastAsia="fi-FI"/>
        </w:rPr>
        <w:t xml:space="preserve"> </w:t>
      </w:r>
    </w:p>
    <w:p w:rsidR="00732F95" w:rsidRDefault="00A576CE" w:rsidP="00182F9C">
      <w:pPr>
        <w:ind w:left="1304"/>
        <w:jc w:val="both"/>
        <w:rPr>
          <w:rFonts w:ascii="Times New Roman" w:eastAsia="Times New Roman" w:hAnsi="Times New Roman" w:cs="Times New Roman"/>
          <w:szCs w:val="24"/>
          <w:lang w:eastAsia="fi-FI"/>
        </w:rPr>
      </w:pPr>
      <w:r w:rsidRPr="008B4530">
        <w:rPr>
          <w:rFonts w:ascii="Times New Roman" w:eastAsia="Times New Roman" w:hAnsi="Times New Roman" w:cs="Times New Roman"/>
          <w:szCs w:val="24"/>
          <w:lang w:eastAsia="fi-FI"/>
        </w:rPr>
        <w:t xml:space="preserve">Pykälään lisättäisiin uusi </w:t>
      </w:r>
      <w:r w:rsidR="00D155DD">
        <w:rPr>
          <w:rFonts w:ascii="Times New Roman" w:eastAsia="Times New Roman" w:hAnsi="Times New Roman" w:cs="Times New Roman"/>
          <w:szCs w:val="24"/>
          <w:lang w:eastAsia="fi-FI"/>
        </w:rPr>
        <w:t>5</w:t>
      </w:r>
      <w:r w:rsidRPr="008B4530">
        <w:rPr>
          <w:rFonts w:ascii="Times New Roman" w:eastAsia="Times New Roman" w:hAnsi="Times New Roman" w:cs="Times New Roman"/>
          <w:szCs w:val="24"/>
          <w:lang w:eastAsia="fi-FI"/>
        </w:rPr>
        <w:t xml:space="preserve"> momentti, jonka mukaan hakijaksi katsottaisiin</w:t>
      </w:r>
      <w:r w:rsidRPr="00A576CE">
        <w:rPr>
          <w:rFonts w:ascii="Times New Roman" w:eastAsia="Times New Roman" w:hAnsi="Times New Roman" w:cs="Times New Roman"/>
          <w:szCs w:val="24"/>
          <w:lang w:eastAsia="fi-FI"/>
        </w:rPr>
        <w:t xml:space="preserve"> myös kehittämistukilain 18 py</w:t>
      </w:r>
      <w:r w:rsidR="00245A19">
        <w:rPr>
          <w:rFonts w:ascii="Times New Roman" w:eastAsia="Times New Roman" w:hAnsi="Times New Roman" w:cs="Times New Roman"/>
          <w:szCs w:val="24"/>
          <w:lang w:eastAsia="fi-FI"/>
        </w:rPr>
        <w:t>kälän 4 momentissa tarkoitettuja</w:t>
      </w:r>
      <w:r w:rsidRPr="00A576CE">
        <w:rPr>
          <w:rFonts w:ascii="Times New Roman" w:eastAsia="Times New Roman" w:hAnsi="Times New Roman" w:cs="Times New Roman"/>
          <w:szCs w:val="24"/>
          <w:lang w:eastAsia="fi-FI"/>
        </w:rPr>
        <w:t xml:space="preserve"> luonnollisia henkilöitä, joiden määräysvalta muodostuu tämän asetuksen 7 pykälän mukaisesti.</w:t>
      </w:r>
      <w:r w:rsidR="0056690F">
        <w:rPr>
          <w:rFonts w:ascii="Times New Roman" w:eastAsia="Times New Roman" w:hAnsi="Times New Roman" w:cs="Times New Roman"/>
          <w:szCs w:val="24"/>
          <w:lang w:eastAsia="fi-FI"/>
        </w:rPr>
        <w:t xml:space="preserve"> </w:t>
      </w:r>
      <w:r w:rsidR="00E47327">
        <w:rPr>
          <w:rFonts w:ascii="Times New Roman" w:eastAsia="Times New Roman" w:hAnsi="Times New Roman" w:cs="Times New Roman"/>
          <w:szCs w:val="24"/>
          <w:lang w:eastAsia="fi-FI"/>
        </w:rPr>
        <w:t>Pykälän 4 momentissa viitata</w:t>
      </w:r>
      <w:r w:rsidR="00221F65">
        <w:rPr>
          <w:rFonts w:ascii="Times New Roman" w:eastAsia="Times New Roman" w:hAnsi="Times New Roman" w:cs="Times New Roman"/>
          <w:szCs w:val="24"/>
          <w:lang w:eastAsia="fi-FI"/>
        </w:rPr>
        <w:t>an tuen myöntämiseen hakijalle. Lisäyksellä selvennettäisiin tilannetta, jossa tuen hakijan</w:t>
      </w:r>
      <w:r w:rsidR="008228BC">
        <w:rPr>
          <w:rFonts w:ascii="Times New Roman" w:eastAsia="Times New Roman" w:hAnsi="Times New Roman" w:cs="Times New Roman"/>
          <w:szCs w:val="24"/>
          <w:lang w:eastAsia="fi-FI"/>
        </w:rPr>
        <w:t>a</w:t>
      </w:r>
      <w:r w:rsidR="00221F65">
        <w:rPr>
          <w:rFonts w:ascii="Times New Roman" w:eastAsia="Times New Roman" w:hAnsi="Times New Roman" w:cs="Times New Roman"/>
          <w:szCs w:val="24"/>
          <w:lang w:eastAsia="fi-FI"/>
        </w:rPr>
        <w:t xml:space="preserve"> on </w:t>
      </w:r>
      <w:r w:rsidR="0022329A">
        <w:rPr>
          <w:rFonts w:ascii="Times New Roman" w:eastAsia="Times New Roman" w:hAnsi="Times New Roman" w:cs="Times New Roman"/>
          <w:szCs w:val="24"/>
          <w:lang w:eastAsia="fi-FI"/>
        </w:rPr>
        <w:t>osakeyhtiö</w:t>
      </w:r>
      <w:r w:rsidR="00221F65">
        <w:rPr>
          <w:rFonts w:ascii="Times New Roman" w:eastAsia="Times New Roman" w:hAnsi="Times New Roman" w:cs="Times New Roman"/>
          <w:szCs w:val="24"/>
          <w:lang w:eastAsia="fi-FI"/>
        </w:rPr>
        <w:t xml:space="preserve">. </w:t>
      </w:r>
      <w:r w:rsidR="008228BC">
        <w:rPr>
          <w:rFonts w:ascii="Times New Roman" w:eastAsia="Times New Roman" w:hAnsi="Times New Roman" w:cs="Times New Roman"/>
          <w:szCs w:val="24"/>
          <w:lang w:eastAsia="fi-FI"/>
        </w:rPr>
        <w:t>Yhdenmukaisuuden vuoksi m</w:t>
      </w:r>
      <w:r w:rsidR="00221F65">
        <w:rPr>
          <w:rFonts w:ascii="Times New Roman" w:eastAsia="Times New Roman" w:hAnsi="Times New Roman" w:cs="Times New Roman"/>
          <w:szCs w:val="24"/>
          <w:lang w:eastAsia="fi-FI"/>
        </w:rPr>
        <w:t xml:space="preserve">yös osakeyhtiöiden osalta </w:t>
      </w:r>
      <w:r w:rsidR="00221F65">
        <w:rPr>
          <w:rFonts w:ascii="Times New Roman" w:eastAsia="Times New Roman" w:hAnsi="Times New Roman" w:cs="Times New Roman"/>
          <w:szCs w:val="24"/>
          <w:lang w:eastAsia="fi-FI"/>
        </w:rPr>
        <w:lastRenderedPageBreak/>
        <w:t xml:space="preserve">tarkasteltaisiin, onko määräysvaltaa osakeyhtiössä käyttävä luonnollinen henkilö saanut </w:t>
      </w:r>
      <w:r w:rsidR="008228BC">
        <w:rPr>
          <w:rFonts w:ascii="Times New Roman" w:eastAsia="Times New Roman" w:hAnsi="Times New Roman" w:cs="Times New Roman"/>
          <w:szCs w:val="24"/>
          <w:lang w:eastAsia="fi-FI"/>
        </w:rPr>
        <w:t>myönteisen starttirahapäätöksen</w:t>
      </w:r>
      <w:r w:rsidR="001872AD">
        <w:rPr>
          <w:rFonts w:ascii="Times New Roman" w:eastAsia="Times New Roman" w:hAnsi="Times New Roman" w:cs="Times New Roman"/>
          <w:szCs w:val="24"/>
          <w:lang w:eastAsia="fi-FI"/>
        </w:rPr>
        <w:t xml:space="preserve"> ja hakenut tai saanut </w:t>
      </w:r>
      <w:r w:rsidR="008C3119">
        <w:rPr>
          <w:rFonts w:ascii="Times New Roman" w:eastAsia="Times New Roman" w:hAnsi="Times New Roman" w:cs="Times New Roman"/>
          <w:szCs w:val="24"/>
          <w:lang w:eastAsia="fi-FI"/>
        </w:rPr>
        <w:t>nuoren viljelijän aloitustuen</w:t>
      </w:r>
      <w:r w:rsidR="001872AD">
        <w:rPr>
          <w:rFonts w:ascii="Times New Roman" w:eastAsia="Times New Roman" w:hAnsi="Times New Roman" w:cs="Times New Roman"/>
          <w:szCs w:val="24"/>
          <w:lang w:eastAsia="fi-FI"/>
        </w:rPr>
        <w:t>.</w:t>
      </w:r>
    </w:p>
    <w:p w:rsidR="0083602A" w:rsidRDefault="00FE2210" w:rsidP="00182F9C">
      <w:pPr>
        <w:ind w:left="1304"/>
        <w:rPr>
          <w:rFonts w:ascii="Times New Roman" w:hAnsi="Times New Roman" w:cs="Times New Roman"/>
        </w:rPr>
      </w:pPr>
      <w:r>
        <w:rPr>
          <w:rFonts w:ascii="Times New Roman" w:hAnsi="Times New Roman" w:cs="Times New Roman"/>
        </w:rPr>
        <w:t xml:space="preserve">20 </w:t>
      </w:r>
      <w:r w:rsidR="00787716">
        <w:rPr>
          <w:rFonts w:ascii="Times New Roman" w:hAnsi="Times New Roman" w:cs="Times New Roman"/>
        </w:rPr>
        <w:t>§</w:t>
      </w:r>
      <w:r w:rsidR="008B4530">
        <w:rPr>
          <w:rFonts w:ascii="Times New Roman" w:hAnsi="Times New Roman" w:cs="Times New Roman"/>
        </w:rPr>
        <w:t>.</w:t>
      </w:r>
      <w:r w:rsidR="00787716">
        <w:rPr>
          <w:rFonts w:ascii="Times New Roman" w:hAnsi="Times New Roman" w:cs="Times New Roman"/>
        </w:rPr>
        <w:t xml:space="preserve"> </w:t>
      </w:r>
      <w:r w:rsidR="00787716" w:rsidRPr="008B4530">
        <w:rPr>
          <w:rFonts w:ascii="Times New Roman" w:hAnsi="Times New Roman" w:cs="Times New Roman"/>
          <w:i/>
        </w:rPr>
        <w:t>Aineellisen</w:t>
      </w:r>
      <w:r w:rsidRPr="008B4530">
        <w:rPr>
          <w:rFonts w:ascii="Times New Roman" w:hAnsi="Times New Roman" w:cs="Times New Roman"/>
          <w:i/>
        </w:rPr>
        <w:t xml:space="preserve"> investoinnin tukikelpoiset kustannukset</w:t>
      </w:r>
      <w:r w:rsidR="008B4530">
        <w:rPr>
          <w:rFonts w:ascii="Times New Roman" w:hAnsi="Times New Roman" w:cs="Times New Roman"/>
        </w:rPr>
        <w:t>.</w:t>
      </w:r>
    </w:p>
    <w:p w:rsidR="00245A19" w:rsidRDefault="008B4530" w:rsidP="00182F9C">
      <w:pPr>
        <w:ind w:left="1304"/>
        <w:jc w:val="both"/>
        <w:rPr>
          <w:rFonts w:ascii="Times New Roman" w:hAnsi="Times New Roman" w:cs="Times New Roman"/>
        </w:rPr>
      </w:pPr>
      <w:r>
        <w:rPr>
          <w:rFonts w:ascii="Times New Roman" w:hAnsi="Times New Roman" w:cs="Times New Roman"/>
        </w:rPr>
        <w:t xml:space="preserve">Aineellisen investoinnin tukikelpoisten kustannusten luetelmaa </w:t>
      </w:r>
      <w:r w:rsidR="009C4C52">
        <w:rPr>
          <w:rFonts w:ascii="Times New Roman" w:hAnsi="Times New Roman" w:cs="Times New Roman"/>
        </w:rPr>
        <w:t xml:space="preserve">täsmennettäisiin </w:t>
      </w:r>
      <w:r w:rsidR="00245A19">
        <w:rPr>
          <w:rFonts w:ascii="Times New Roman" w:hAnsi="Times New Roman" w:cs="Times New Roman"/>
        </w:rPr>
        <w:t xml:space="preserve">pykälän informatiivisuuden </w:t>
      </w:r>
      <w:r w:rsidR="00C73688">
        <w:rPr>
          <w:rFonts w:ascii="Times New Roman" w:hAnsi="Times New Roman" w:cs="Times New Roman"/>
        </w:rPr>
        <w:t xml:space="preserve">parantamiseksi </w:t>
      </w:r>
      <w:r>
        <w:rPr>
          <w:rFonts w:ascii="Times New Roman" w:hAnsi="Times New Roman" w:cs="Times New Roman"/>
        </w:rPr>
        <w:t xml:space="preserve">lisäämällä </w:t>
      </w:r>
      <w:r w:rsidR="001E5D27">
        <w:rPr>
          <w:rFonts w:ascii="Times New Roman" w:hAnsi="Times New Roman" w:cs="Times New Roman"/>
        </w:rPr>
        <w:t>1 momentin 1 kohtaan</w:t>
      </w:r>
      <w:r>
        <w:rPr>
          <w:rFonts w:ascii="Times New Roman" w:hAnsi="Times New Roman" w:cs="Times New Roman"/>
        </w:rPr>
        <w:t xml:space="preserve"> </w:t>
      </w:r>
      <w:r w:rsidRPr="008B4530">
        <w:rPr>
          <w:rFonts w:ascii="Times New Roman" w:hAnsi="Times New Roman" w:cs="Times New Roman"/>
        </w:rPr>
        <w:t>r</w:t>
      </w:r>
      <w:r>
        <w:rPr>
          <w:rFonts w:ascii="Times New Roman" w:hAnsi="Times New Roman" w:cs="Times New Roman"/>
        </w:rPr>
        <w:t>akentamiskohteessa tarvittavat</w:t>
      </w:r>
      <w:r w:rsidRPr="008B4530">
        <w:rPr>
          <w:rFonts w:ascii="Times New Roman" w:hAnsi="Times New Roman" w:cs="Times New Roman"/>
        </w:rPr>
        <w:t xml:space="preserve"> sähkö-, lämpö-, vesi- ja viemär</w:t>
      </w:r>
      <w:r>
        <w:rPr>
          <w:rFonts w:ascii="Times New Roman" w:hAnsi="Times New Roman" w:cs="Times New Roman"/>
        </w:rPr>
        <w:t xml:space="preserve">i- sekä tietoliikenneliittymistä aiheutuvat kustannukset. Näitä kustannuksia voitaisiin tukea ainoastaan osana tuettavaa toimenpidettä. Pelkästään näitä kustannuksia sisältävään investointiin tukea ei voitaisi myöntää. Kyseisten kustannusten katsotaan lukeutuvan kiinteästi aineellisen investoinnin toteuttamiseen, kuten rakennuksen rakentamiseen, sillä rakennus ei olisi yritystoimintaan käyttökelpoinen ilman edellä lueteltuja liittymiä. </w:t>
      </w:r>
    </w:p>
    <w:p w:rsidR="0015578F" w:rsidRDefault="001E5D27" w:rsidP="00182F9C">
      <w:pPr>
        <w:ind w:left="1304"/>
        <w:rPr>
          <w:rFonts w:ascii="Times New Roman" w:hAnsi="Times New Roman" w:cs="Times New Roman"/>
        </w:rPr>
      </w:pPr>
      <w:r>
        <w:rPr>
          <w:rFonts w:ascii="Times New Roman" w:hAnsi="Times New Roman" w:cs="Times New Roman"/>
        </w:rPr>
        <w:t>Pykälän 1 momentin 2 kohtaan lisättäisiin maininta siitä, että käsitteenä koneiden ja laitteiden voidaan katsoa sisältävän myös yritystoiminnassa tarvittavat välineet ja kalust</w:t>
      </w:r>
      <w:r w:rsidR="006F7770">
        <w:rPr>
          <w:rFonts w:ascii="Times New Roman" w:hAnsi="Times New Roman" w:cs="Times New Roman"/>
        </w:rPr>
        <w:t>on.</w:t>
      </w:r>
      <w:r>
        <w:rPr>
          <w:rFonts w:ascii="Times New Roman" w:hAnsi="Times New Roman" w:cs="Times New Roman"/>
        </w:rPr>
        <w:t xml:space="preserve">  </w:t>
      </w:r>
    </w:p>
    <w:p w:rsidR="00A53CCC" w:rsidRPr="00A53CCC" w:rsidRDefault="00A53CCC" w:rsidP="00A53CCC">
      <w:pPr>
        <w:ind w:left="1304"/>
        <w:jc w:val="both"/>
        <w:rPr>
          <w:rFonts w:ascii="Times New Roman" w:hAnsi="Times New Roman" w:cs="Times New Roman"/>
        </w:rPr>
      </w:pPr>
      <w:r w:rsidRPr="00A53CCC">
        <w:rPr>
          <w:rFonts w:ascii="Times New Roman" w:hAnsi="Times New Roman" w:cs="Times New Roman"/>
        </w:rPr>
        <w:t xml:space="preserve">Pykälään lisättäisiin uusi 4 momentti, jossa säädetään edellytyksistä, joita noudatetaan tuettaessa käytettyinä hankittavia koneita ja laitteita mukaan lukien välineet ja kalusto. Käytettynä hankittavia koneita ja laitteita ei ole voitu tähän mennessä tukea, sillä niiden tukemisen ei </w:t>
      </w:r>
      <w:r w:rsidR="006F7770">
        <w:rPr>
          <w:rFonts w:ascii="Times New Roman" w:hAnsi="Times New Roman" w:cs="Times New Roman"/>
        </w:rPr>
        <w:t xml:space="preserve">alun perin </w:t>
      </w:r>
      <w:r w:rsidRPr="00A53CCC">
        <w:rPr>
          <w:rFonts w:ascii="Times New Roman" w:hAnsi="Times New Roman" w:cs="Times New Roman"/>
        </w:rPr>
        <w:t>sisältynyt Manner-Suomen maaseudun kehittämisohjelmaan 2014–2020</w:t>
      </w:r>
      <w:r w:rsidR="002572F8">
        <w:rPr>
          <w:rFonts w:ascii="Times New Roman" w:hAnsi="Times New Roman" w:cs="Times New Roman"/>
        </w:rPr>
        <w:t xml:space="preserve"> (jäljempänä maaseutuohjelma)</w:t>
      </w:r>
      <w:r w:rsidRPr="00A53CCC">
        <w:rPr>
          <w:rFonts w:ascii="Times New Roman" w:hAnsi="Times New Roman" w:cs="Times New Roman"/>
        </w:rPr>
        <w:t xml:space="preserve">. </w:t>
      </w:r>
      <w:r w:rsidR="002572F8">
        <w:rPr>
          <w:rFonts w:ascii="Times New Roman" w:hAnsi="Times New Roman" w:cs="Times New Roman"/>
        </w:rPr>
        <w:t>Maaseutuohjelman</w:t>
      </w:r>
      <w:r w:rsidRPr="00A53CCC">
        <w:rPr>
          <w:rFonts w:ascii="Times New Roman" w:hAnsi="Times New Roman" w:cs="Times New Roman"/>
        </w:rPr>
        <w:t xml:space="preserve"> mukaan edelleen tuetaan </w:t>
      </w:r>
      <w:r w:rsidR="002572F8">
        <w:rPr>
          <w:rFonts w:ascii="Times New Roman" w:hAnsi="Times New Roman" w:cs="Times New Roman"/>
        </w:rPr>
        <w:t xml:space="preserve">pääsääntöisesti </w:t>
      </w:r>
      <w:r w:rsidRPr="00A53CCC">
        <w:rPr>
          <w:rFonts w:ascii="Times New Roman" w:hAnsi="Times New Roman" w:cs="Times New Roman"/>
        </w:rPr>
        <w:t xml:space="preserve">uusia koneita ja laitteita, etenkin jos uuden teknologian avulla yrityksen tuottavuus merkittävästi parantuu. Yrityksen tuotannossa tarvitaan usein myös koneita tai laitteita, joiden teknologia ei ole merkittävästi muuttunut tai joilla ei ole keskeistä merkitystä tuotantoprosessin nykyaikaisuuteen. Investoinnin kokonaistaloudellisuutta arvioitaessa on otettava huomioon myös yrityksen tuotannon laajuus ja monipuolisuus. Jos yritys pystyy hankkimaan tarvittavat kolme erilaista käytettyä konetta yhden uuden hinnalla, se kykenee huomattavasti monipuolisempaan toimintaan ja vähentämään tällä tavoin tuotannon riskejä.  </w:t>
      </w:r>
    </w:p>
    <w:p w:rsidR="0015578F" w:rsidRDefault="00CB22E2" w:rsidP="008D38AC">
      <w:pPr>
        <w:ind w:left="1304"/>
        <w:jc w:val="both"/>
      </w:pPr>
      <w:r>
        <w:rPr>
          <w:rFonts w:ascii="Times New Roman" w:hAnsi="Times New Roman" w:cs="Times New Roman"/>
        </w:rPr>
        <w:t>Käytettyjen koneiden ja laitteiden tukeminen edistää osaltaan materiaalitehokkuutta ja resurssien tehokasta käyttöä. Tuke</w:t>
      </w:r>
      <w:r w:rsidR="009C4C52">
        <w:rPr>
          <w:rFonts w:ascii="Times New Roman" w:hAnsi="Times New Roman" w:cs="Times New Roman"/>
        </w:rPr>
        <w:t>a</w:t>
      </w:r>
      <w:r>
        <w:rPr>
          <w:rFonts w:ascii="Times New Roman" w:hAnsi="Times New Roman" w:cs="Times New Roman"/>
        </w:rPr>
        <w:t xml:space="preserve"> ei ole kuitenkaan tarkoitus suunnata sellaisten käytettyjen koneiden ja laitteiden hankkimiseen, jotka ovat lähellä teknis-taloudellisen käyttöikänsä loppua. </w:t>
      </w:r>
      <w:r w:rsidRPr="00A53CCC">
        <w:rPr>
          <w:rFonts w:ascii="Times New Roman" w:hAnsi="Times New Roman" w:cs="Times New Roman"/>
        </w:rPr>
        <w:t xml:space="preserve">Käytettyjen koneiden ja laitteiden hankkiminen pitäisi perustella </w:t>
      </w:r>
      <w:r>
        <w:rPr>
          <w:rFonts w:ascii="Times New Roman" w:hAnsi="Times New Roman" w:cs="Times New Roman"/>
        </w:rPr>
        <w:t>säännöksessä esitetyt edellytykset</w:t>
      </w:r>
      <w:r w:rsidRPr="00A53CCC">
        <w:rPr>
          <w:rFonts w:ascii="Times New Roman" w:hAnsi="Times New Roman" w:cs="Times New Roman"/>
        </w:rPr>
        <w:t xml:space="preserve"> huomioon ottaen.  Tukemisen edellytyksenä on, että hankinta hyväksytään tukipäätöksellä, jonka ehtoja tuen saajan tulee noudattaa.</w:t>
      </w:r>
    </w:p>
    <w:p w:rsidR="00C73688" w:rsidRDefault="00B648D2" w:rsidP="00B648D2">
      <w:pPr>
        <w:ind w:left="1304"/>
        <w:jc w:val="both"/>
        <w:rPr>
          <w:rFonts w:ascii="Times New Roman" w:hAnsi="Times New Roman" w:cs="Times New Roman"/>
        </w:rPr>
      </w:pPr>
      <w:r w:rsidRPr="00B648D2">
        <w:rPr>
          <w:rFonts w:ascii="Times New Roman" w:hAnsi="Times New Roman" w:cs="Times New Roman"/>
        </w:rPr>
        <w:t xml:space="preserve">EU-ohjelmakautta 2000–2006 koskien käytettyjen koneiden ja laitteiden tukikelpoisuudesta säädettiin yksityiskohtaisesti komission asetuksessa (EY) N:o 1/2004 EY:n perustamissopimuksen 87 ja 88 artiklan soveltamisesta maataloustuotteiden tuottamisen, jalostamisen ja kaupan pitämisen alalla toimiville pienille ja keskisuurille yrityksille myönnettävään valtiontukeen. Kyseisen komission asetuksen 7 artiklan mukaisia käytettyjä koneita ja laitteita koskevia yksityiskohtaisia tukiedellytyksiä sovellettiin jalostamiseen ja kaupan pitämiseen liittyviin investointeihin. EU-ohjelmakautta 2007–2013 koskevan komission asetuksen (EY) N:o 1974/2006 Euroopan maaseudun kehittämisen maatalousrahaston (maaseuturahaston) tuesta maaseudun kehittämiseen annetun neuvoston asetuksen (EY) N:o 1698/2005 soveltamista koskevista yksityiskohtaisista säännöistä 55 artikla mahdollisti sen, että jäsenvaltiot voivat asianmukaisesti perustelluissa tapauksissa vahvistaa edellytykset, joiden mukaan käytettyjen välineiden ja laitteiden hankinta voidaan katsoa tukikelpoiseksi menoksi. Tultaessa nykyiselle EU-ohjelmakaudelle 2014–2020 </w:t>
      </w:r>
      <w:r w:rsidRPr="00B648D2">
        <w:rPr>
          <w:rFonts w:ascii="Times New Roman" w:hAnsi="Times New Roman" w:cs="Times New Roman"/>
        </w:rPr>
        <w:lastRenderedPageBreak/>
        <w:t>käytettyjen koneiden ja laitteiden tukemisesta säädetään komission delegoidun asetuksen (EU) N:o 807/2014 Euroopan maaseudun kehittämisen maatalousrahaston (maaseuturahasto) tuesta maaseudun kehittämiseen annetun Euroopan parlamentin ja neuvoston asetuksen (EU) N:o 1305/2013 täydentämisestä ja siirtymäsäännöksistä 13 artiklan b kohdassa, jonka mukaan jäsenvaltioiden on esitettävä maaseudun kehittämisohjelmissaan edellytykset, joiden mukaisesti käytettyjen välineiden ja laitteiden hankintaa voidaan pitää tukikelpoisina menoina. Käytettyinä hankittavien koneiden ja laitteiden tukemisen periaatteet on sisällytetty Manner-Suomen maaseudun kehittämisohjelman 2014–2020 lukuun 8.</w:t>
      </w:r>
      <w:r w:rsidR="009C4C52">
        <w:rPr>
          <w:rFonts w:ascii="Times New Roman" w:hAnsi="Times New Roman" w:cs="Times New Roman"/>
        </w:rPr>
        <w:t xml:space="preserve"> kyseisen ohjelman 2. muutoksen yhteydessä. Euroopan komissio hyväksyi muutoksen 29.2.2016 annetulla täytäntöönpanopäätöksellä </w:t>
      </w:r>
      <w:r w:rsidR="009C4C52" w:rsidRPr="009C4C52">
        <w:rPr>
          <w:rFonts w:ascii="Times New Roman" w:hAnsi="Times New Roman" w:cs="Times New Roman"/>
        </w:rPr>
        <w:t>Euroopan maaseudun kehittämisen maatalousrahas</w:t>
      </w:r>
      <w:r w:rsidR="009C4C52">
        <w:rPr>
          <w:rFonts w:ascii="Times New Roman" w:hAnsi="Times New Roman" w:cs="Times New Roman"/>
        </w:rPr>
        <w:t>tosta myönnettävää tukea varten e</w:t>
      </w:r>
      <w:r w:rsidR="009C4C52" w:rsidRPr="009C4C52">
        <w:rPr>
          <w:rFonts w:ascii="Times New Roman" w:hAnsi="Times New Roman" w:cs="Times New Roman"/>
        </w:rPr>
        <w:t>sitetyn Manner-Suomen maaseudun kehittämisohje</w:t>
      </w:r>
      <w:r w:rsidR="009C4C52">
        <w:rPr>
          <w:rFonts w:ascii="Times New Roman" w:hAnsi="Times New Roman" w:cs="Times New Roman"/>
        </w:rPr>
        <w:t>lman muuttamisen hyväksymisestä (</w:t>
      </w:r>
      <w:r w:rsidR="009C4C52" w:rsidRPr="009C4C52">
        <w:rPr>
          <w:rFonts w:ascii="Times New Roman" w:hAnsi="Times New Roman" w:cs="Times New Roman"/>
        </w:rPr>
        <w:t>CCI 2014FI06RDRP001</w:t>
      </w:r>
      <w:r w:rsidR="009C4C52">
        <w:rPr>
          <w:rFonts w:ascii="Times New Roman" w:hAnsi="Times New Roman" w:cs="Times New Roman"/>
        </w:rPr>
        <w:t xml:space="preserve">). </w:t>
      </w:r>
      <w:r w:rsidRPr="00B648D2">
        <w:rPr>
          <w:rFonts w:ascii="Times New Roman" w:hAnsi="Times New Roman" w:cs="Times New Roman"/>
        </w:rPr>
        <w:t xml:space="preserve">EU-ohjelmakaudelle </w:t>
      </w:r>
      <w:r w:rsidR="00A53CCC" w:rsidRPr="00B648D2">
        <w:rPr>
          <w:rFonts w:ascii="Times New Roman" w:hAnsi="Times New Roman" w:cs="Times New Roman"/>
        </w:rPr>
        <w:t>2014–2020</w:t>
      </w:r>
      <w:r w:rsidRPr="00B648D2">
        <w:rPr>
          <w:rFonts w:ascii="Times New Roman" w:hAnsi="Times New Roman" w:cs="Times New Roman"/>
        </w:rPr>
        <w:t xml:space="preserve"> maaseudun yritystukeen sovellettavat valtiontukisäännöt mahdollistavat uusien koneiden lisäksi käytettyjen koneiden ja laitteiden tukemisen ilman erityisten tukiedellytysten asettamista. </w:t>
      </w:r>
    </w:p>
    <w:p w:rsidR="000718B0" w:rsidRPr="00812ACA" w:rsidRDefault="000718B0" w:rsidP="00182F9C">
      <w:pPr>
        <w:ind w:left="1304"/>
        <w:rPr>
          <w:rFonts w:ascii="Times New Roman" w:hAnsi="Times New Roman" w:cs="Times New Roman"/>
        </w:rPr>
      </w:pPr>
      <w:r w:rsidRPr="00812ACA">
        <w:rPr>
          <w:rFonts w:ascii="Times New Roman" w:hAnsi="Times New Roman" w:cs="Times New Roman"/>
        </w:rPr>
        <w:t>25 §</w:t>
      </w:r>
      <w:r w:rsidR="00812ACA" w:rsidRPr="00812ACA">
        <w:rPr>
          <w:rFonts w:ascii="Times New Roman" w:hAnsi="Times New Roman" w:cs="Times New Roman"/>
        </w:rPr>
        <w:t>.</w:t>
      </w:r>
      <w:r w:rsidRPr="00812ACA">
        <w:rPr>
          <w:rFonts w:ascii="Times New Roman" w:hAnsi="Times New Roman" w:cs="Times New Roman"/>
        </w:rPr>
        <w:t xml:space="preserve"> </w:t>
      </w:r>
      <w:r w:rsidRPr="00812ACA">
        <w:rPr>
          <w:rFonts w:ascii="Times New Roman" w:hAnsi="Times New Roman" w:cs="Times New Roman"/>
          <w:i/>
        </w:rPr>
        <w:t>Investointeja koskevat rajoitukset</w:t>
      </w:r>
      <w:r w:rsidR="00812ACA" w:rsidRPr="00812ACA">
        <w:rPr>
          <w:rFonts w:ascii="Times New Roman" w:hAnsi="Times New Roman" w:cs="Times New Roman"/>
        </w:rPr>
        <w:t>.</w:t>
      </w:r>
    </w:p>
    <w:p w:rsidR="00E2053D" w:rsidRDefault="000718B0" w:rsidP="002572F8">
      <w:pPr>
        <w:ind w:left="1304"/>
        <w:jc w:val="both"/>
        <w:rPr>
          <w:rFonts w:ascii="Times New Roman" w:hAnsi="Times New Roman" w:cs="Times New Roman"/>
        </w:rPr>
      </w:pPr>
      <w:r>
        <w:rPr>
          <w:rFonts w:ascii="Times New Roman" w:hAnsi="Times New Roman" w:cs="Times New Roman"/>
        </w:rPr>
        <w:t>Pykälän 1 kohtaa täsmennettäisiin siten, että tukikelpoisena kustannuksena ei pide</w:t>
      </w:r>
      <w:r w:rsidR="00BF1915">
        <w:rPr>
          <w:rFonts w:ascii="Times New Roman" w:hAnsi="Times New Roman" w:cs="Times New Roman"/>
        </w:rPr>
        <w:t xml:space="preserve">ttäisi maatalouden alkutuotantoon tai sitä palvelevaan </w:t>
      </w:r>
      <w:r w:rsidR="00E2053D">
        <w:rPr>
          <w:rFonts w:ascii="Times New Roman" w:hAnsi="Times New Roman" w:cs="Times New Roman"/>
        </w:rPr>
        <w:t xml:space="preserve">toimintaan </w:t>
      </w:r>
      <w:r>
        <w:rPr>
          <w:rFonts w:ascii="Times New Roman" w:hAnsi="Times New Roman" w:cs="Times New Roman"/>
        </w:rPr>
        <w:t>tarkoitettujen ko</w:t>
      </w:r>
      <w:r w:rsidR="002572F8">
        <w:rPr>
          <w:rFonts w:ascii="Times New Roman" w:hAnsi="Times New Roman" w:cs="Times New Roman"/>
        </w:rPr>
        <w:t xml:space="preserve">neiden ja laitteiden hankintaa. Maaseutuohjelman mukaan </w:t>
      </w:r>
      <w:r w:rsidR="002572F8" w:rsidRPr="002572F8">
        <w:rPr>
          <w:rFonts w:ascii="Times New Roman" w:hAnsi="Times New Roman" w:cs="Times New Roman"/>
        </w:rPr>
        <w:t>maatalouden ulkopuoliseksi yritystoiminnaksi katsottavaa maatalo</w:t>
      </w:r>
      <w:r w:rsidR="002572F8">
        <w:rPr>
          <w:rFonts w:ascii="Times New Roman" w:hAnsi="Times New Roman" w:cs="Times New Roman"/>
        </w:rPr>
        <w:t xml:space="preserve">utta palvelevaa yritystoimintaa voidaan tukea </w:t>
      </w:r>
      <w:r w:rsidR="002572F8" w:rsidRPr="002572F8">
        <w:rPr>
          <w:rFonts w:ascii="Times New Roman" w:hAnsi="Times New Roman" w:cs="Times New Roman"/>
        </w:rPr>
        <w:t>rajoitetusti</w:t>
      </w:r>
      <w:r w:rsidR="002572F8">
        <w:rPr>
          <w:rFonts w:ascii="Times New Roman" w:hAnsi="Times New Roman" w:cs="Times New Roman"/>
        </w:rPr>
        <w:t>.</w:t>
      </w:r>
    </w:p>
    <w:p w:rsidR="00D34643" w:rsidRDefault="00C026DC" w:rsidP="00C026DC">
      <w:pPr>
        <w:ind w:left="1304"/>
        <w:jc w:val="both"/>
        <w:rPr>
          <w:rFonts w:ascii="Times New Roman" w:hAnsi="Times New Roman" w:cs="Times New Roman"/>
        </w:rPr>
      </w:pPr>
      <w:r>
        <w:rPr>
          <w:rFonts w:ascii="Times New Roman" w:hAnsi="Times New Roman" w:cs="Times New Roman"/>
        </w:rPr>
        <w:t>Poikkeuksena olisivat ammattimaisesti maataloutta palvelevaa</w:t>
      </w:r>
      <w:r w:rsidR="00737193">
        <w:rPr>
          <w:rFonts w:ascii="Times New Roman" w:hAnsi="Times New Roman" w:cs="Times New Roman"/>
        </w:rPr>
        <w:t xml:space="preserve"> huolto- ja ylläpitotoimintaa </w:t>
      </w:r>
      <w:r>
        <w:rPr>
          <w:rFonts w:ascii="Times New Roman" w:hAnsi="Times New Roman" w:cs="Times New Roman"/>
        </w:rPr>
        <w:t xml:space="preserve">harjoittavat yritykset, jotka eivät itse harjoita maatalouden alkutuotantoa. Tukea ei voida myöntää sellaisten koneiden ja laitteiden hankintaan, joita tuetaan </w:t>
      </w:r>
      <w:r w:rsidR="00C73688">
        <w:rPr>
          <w:rFonts w:ascii="Times New Roman" w:hAnsi="Times New Roman" w:cs="Times New Roman"/>
        </w:rPr>
        <w:t xml:space="preserve">kulloinkin voimassa olevan </w:t>
      </w:r>
      <w:r>
        <w:rPr>
          <w:rFonts w:ascii="Times New Roman" w:hAnsi="Times New Roman" w:cs="Times New Roman"/>
        </w:rPr>
        <w:t xml:space="preserve">maatalouden rakennetuista annetun lain (1476/2007) nojalla annettuun valtioneuvoston asetukseen maatilan investointituen kohdentamisesta (241/2015) perustuen. </w:t>
      </w:r>
      <w:r w:rsidR="002572F8">
        <w:rPr>
          <w:rFonts w:ascii="Times New Roman" w:hAnsi="Times New Roman" w:cs="Times New Roman"/>
        </w:rPr>
        <w:t xml:space="preserve"> </w:t>
      </w:r>
      <w:r w:rsidR="00737193">
        <w:rPr>
          <w:rFonts w:ascii="Times New Roman" w:hAnsi="Times New Roman" w:cs="Times New Roman"/>
        </w:rPr>
        <w:t>V</w:t>
      </w:r>
      <w:r w:rsidR="002572F8">
        <w:rPr>
          <w:rFonts w:ascii="Times New Roman" w:hAnsi="Times New Roman" w:cs="Times New Roman"/>
        </w:rPr>
        <w:t>altioneuvoston a</w:t>
      </w:r>
      <w:r>
        <w:rPr>
          <w:rFonts w:ascii="Times New Roman" w:hAnsi="Times New Roman" w:cs="Times New Roman"/>
        </w:rPr>
        <w:t>setus (241/2015) mahdollistaa 10–15 %:n suuruisen tuen myöntämisen yhteiskäyttöön tulevan sadonkorjuukoneen (perunan tai sokerijuurikkaan nostokoneen) hankkimiseen. Lisäksi asetus</w:t>
      </w:r>
      <w:r w:rsidR="00C73688">
        <w:rPr>
          <w:rFonts w:ascii="Times New Roman" w:hAnsi="Times New Roman" w:cs="Times New Roman"/>
        </w:rPr>
        <w:t xml:space="preserve"> (241/2015)</w:t>
      </w:r>
      <w:r>
        <w:rPr>
          <w:rFonts w:ascii="Times New Roman" w:hAnsi="Times New Roman" w:cs="Times New Roman"/>
        </w:rPr>
        <w:t xml:space="preserve"> mahdollistaa 30–35 %:n suuruisen tuen myöntämisen lietelannan sijoituslevitystä edistävän laitteen hankkimiseen. Euroopan komission laatimassa täytäntöönpanomuistiossa todetaan, että tuettaessa maataloutta palvelevaan toimintaan tulevia koneita maaseutuasetuksen 19(1)(b) artiklaan perustuen, tukitason tulisi olla sama kuin maaseutuasetuksen artiklaan 17 perustuvassa maatalouden investointituessa, tai alempi. Tämän asetuksen mukaista maaseudun yritystukea voidaan myöntää maaseutuasetuksen artiklan 19(1)(b) mukaisiin investointeihin </w:t>
      </w:r>
      <w:r w:rsidR="00A53CCC">
        <w:rPr>
          <w:rFonts w:ascii="Times New Roman" w:hAnsi="Times New Roman" w:cs="Times New Roman"/>
        </w:rPr>
        <w:t>20–35</w:t>
      </w:r>
      <w:r>
        <w:rPr>
          <w:rFonts w:ascii="Times New Roman" w:hAnsi="Times New Roman" w:cs="Times New Roman"/>
        </w:rPr>
        <w:t xml:space="preserve"> % tukikelpoisista kustannuksista. Maaseudun yritystukea ei ole tarkoituksenmukaista myöntää päällekkäisiin tukikohteisiin maatalouden rakennetuen kanssa eikä myöskään maataloutta palvelevan toiminnan tavanomaisiin koneisiin ja laitteisiin, koska niitä ei tueta </w:t>
      </w:r>
      <w:r w:rsidR="00C73688">
        <w:rPr>
          <w:rFonts w:ascii="Times New Roman" w:hAnsi="Times New Roman" w:cs="Times New Roman"/>
        </w:rPr>
        <w:t xml:space="preserve">lainkaan </w:t>
      </w:r>
      <w:r>
        <w:rPr>
          <w:rFonts w:ascii="Times New Roman" w:hAnsi="Times New Roman" w:cs="Times New Roman"/>
        </w:rPr>
        <w:t xml:space="preserve">maatalouden rakennetuella. Poikkeuksena olisi maataloutta palveleva </w:t>
      </w:r>
      <w:r w:rsidR="00C73688">
        <w:rPr>
          <w:rFonts w:ascii="Times New Roman" w:hAnsi="Times New Roman" w:cs="Times New Roman"/>
        </w:rPr>
        <w:t>huolto- ja ylläpitotoiminta</w:t>
      </w:r>
      <w:r>
        <w:rPr>
          <w:rFonts w:ascii="Times New Roman" w:hAnsi="Times New Roman" w:cs="Times New Roman"/>
        </w:rPr>
        <w:t>, jota harjoittavat maatalouden ulkopuoliset yritykset</w:t>
      </w:r>
      <w:r w:rsidR="00C73688">
        <w:rPr>
          <w:rFonts w:ascii="Times New Roman" w:hAnsi="Times New Roman" w:cs="Times New Roman"/>
        </w:rPr>
        <w:t xml:space="preserve"> tarjoten palveluita maatalousyrityksille. </w:t>
      </w:r>
    </w:p>
    <w:p w:rsidR="00492A92" w:rsidRDefault="00892882" w:rsidP="00182F9C">
      <w:pPr>
        <w:ind w:left="1304"/>
        <w:jc w:val="both"/>
        <w:rPr>
          <w:rFonts w:ascii="Times New Roman" w:hAnsi="Times New Roman" w:cs="Times New Roman"/>
        </w:rPr>
      </w:pPr>
      <w:r>
        <w:rPr>
          <w:rFonts w:ascii="Times New Roman" w:hAnsi="Times New Roman" w:cs="Times New Roman"/>
        </w:rPr>
        <w:t xml:space="preserve">Myönnettäessä tukea julkiselta viranomaiselta hankittavan maa-alueen tai rakennuksen </w:t>
      </w:r>
      <w:r w:rsidR="00F002A0">
        <w:rPr>
          <w:rFonts w:ascii="Times New Roman" w:hAnsi="Times New Roman" w:cs="Times New Roman"/>
        </w:rPr>
        <w:t>hankkimiseen</w:t>
      </w:r>
      <w:r>
        <w:rPr>
          <w:rFonts w:ascii="Times New Roman" w:hAnsi="Times New Roman" w:cs="Times New Roman"/>
        </w:rPr>
        <w:t xml:space="preserve"> on varmistuttava siitä, että kyseiseen kauppaan ei sisälly valtion tukea. </w:t>
      </w:r>
      <w:r w:rsidR="00F002A0">
        <w:rPr>
          <w:rFonts w:ascii="Times New Roman" w:hAnsi="Times New Roman" w:cs="Times New Roman"/>
        </w:rPr>
        <w:t xml:space="preserve">Tämän varmistamiseksi pykälän 7 kohdassa </w:t>
      </w:r>
      <w:r w:rsidR="002F5DDB">
        <w:rPr>
          <w:rFonts w:ascii="Times New Roman" w:hAnsi="Times New Roman" w:cs="Times New Roman"/>
        </w:rPr>
        <w:t>on säädetty edellytyksistä hankinnan kohteen markkinahinnan selvittämiseksi eli sen osoittamiseksi, että kauppaan ei sisälly valtion tukea. Nämä edellytykset perustuvat komission tiedonantoon j</w:t>
      </w:r>
      <w:r w:rsidR="002F5DDB" w:rsidRPr="000718B0">
        <w:rPr>
          <w:rFonts w:ascii="Times New Roman" w:hAnsi="Times New Roman" w:cs="Times New Roman"/>
        </w:rPr>
        <w:t>ulkisten viranomaisten tekemiin maa-</w:t>
      </w:r>
      <w:r w:rsidR="002F5DDB" w:rsidRPr="000718B0">
        <w:rPr>
          <w:rFonts w:ascii="Times New Roman" w:hAnsi="Times New Roman" w:cs="Times New Roman"/>
        </w:rPr>
        <w:lastRenderedPageBreak/>
        <w:t xml:space="preserve">alueita ja rakennuksia koskeviin </w:t>
      </w:r>
      <w:r w:rsidR="002F5DDB">
        <w:rPr>
          <w:rFonts w:ascii="Times New Roman" w:hAnsi="Times New Roman" w:cs="Times New Roman"/>
        </w:rPr>
        <w:t xml:space="preserve">kauppoihin sisältyvistä tuista </w:t>
      </w:r>
      <w:r w:rsidR="002F5DDB" w:rsidRPr="000718B0">
        <w:rPr>
          <w:rFonts w:ascii="Times New Roman" w:hAnsi="Times New Roman" w:cs="Times New Roman"/>
        </w:rPr>
        <w:t>(EYVL C 209, 10.7.1997, s. 3-5)</w:t>
      </w:r>
      <w:r w:rsidR="002F5DDB">
        <w:rPr>
          <w:rFonts w:ascii="Times New Roman" w:hAnsi="Times New Roman" w:cs="Times New Roman"/>
        </w:rPr>
        <w:t>. Kyseinen tiedonanto on korvattu Euroopan unionin toiminnasta tehdyn sopimuksen 107 artiklan 1 kohdassa tarkoitetusta valtiontuen käsitteestä annetulla komission t</w:t>
      </w:r>
      <w:r w:rsidR="003836B2">
        <w:rPr>
          <w:rFonts w:ascii="Times New Roman" w:hAnsi="Times New Roman" w:cs="Times New Roman"/>
        </w:rPr>
        <w:t>iedonannolla (EUVL C 262, 19.7.2016</w:t>
      </w:r>
      <w:r w:rsidR="002F5DDB">
        <w:rPr>
          <w:rFonts w:ascii="Times New Roman" w:hAnsi="Times New Roman" w:cs="Times New Roman"/>
        </w:rPr>
        <w:t>, s. 1-</w:t>
      </w:r>
      <w:r w:rsidR="003836B2">
        <w:rPr>
          <w:rFonts w:ascii="Times New Roman" w:hAnsi="Times New Roman" w:cs="Times New Roman"/>
        </w:rPr>
        <w:t xml:space="preserve">50). Tämän vuoksi pykälän 7 kohtaa muutettaisiin lisäämällä siihen viittaus </w:t>
      </w:r>
      <w:r w:rsidR="00492A92">
        <w:rPr>
          <w:rFonts w:ascii="Times New Roman" w:hAnsi="Times New Roman" w:cs="Times New Roman"/>
        </w:rPr>
        <w:t xml:space="preserve">korvaavan tiedonannon kohtaan 103, joka on menettelyiltään aiempaa yksinkertaisempi ja </w:t>
      </w:r>
      <w:r w:rsidR="00C73688">
        <w:rPr>
          <w:rFonts w:ascii="Times New Roman" w:hAnsi="Times New Roman" w:cs="Times New Roman"/>
        </w:rPr>
        <w:t>jota</w:t>
      </w:r>
      <w:r w:rsidR="00492A92">
        <w:rPr>
          <w:rFonts w:ascii="Times New Roman" w:hAnsi="Times New Roman" w:cs="Times New Roman"/>
        </w:rPr>
        <w:t xml:space="preserve"> sovelletaan sekä maa-alueisiin että rakennuksiin.</w:t>
      </w:r>
    </w:p>
    <w:p w:rsidR="00FD20A6" w:rsidRPr="00812ACA" w:rsidRDefault="00FD20A6" w:rsidP="00182F9C">
      <w:pPr>
        <w:ind w:left="1304"/>
        <w:jc w:val="both"/>
        <w:rPr>
          <w:rFonts w:ascii="Times New Roman" w:hAnsi="Times New Roman" w:cs="Times New Roman"/>
        </w:rPr>
      </w:pPr>
      <w:r w:rsidRPr="00812ACA">
        <w:rPr>
          <w:rFonts w:ascii="Times New Roman" w:hAnsi="Times New Roman" w:cs="Times New Roman"/>
        </w:rPr>
        <w:t>26 §</w:t>
      </w:r>
      <w:r w:rsidR="00812ACA">
        <w:rPr>
          <w:rFonts w:ascii="Times New Roman" w:hAnsi="Times New Roman" w:cs="Times New Roman"/>
        </w:rPr>
        <w:t>.</w:t>
      </w:r>
      <w:r w:rsidRPr="00812ACA">
        <w:rPr>
          <w:rFonts w:ascii="Times New Roman" w:hAnsi="Times New Roman" w:cs="Times New Roman"/>
        </w:rPr>
        <w:t xml:space="preserve"> </w:t>
      </w:r>
      <w:r w:rsidRPr="00812ACA">
        <w:rPr>
          <w:rFonts w:ascii="Times New Roman" w:hAnsi="Times New Roman" w:cs="Times New Roman"/>
          <w:i/>
        </w:rPr>
        <w:t>Investointitukeen oikeuttamattomat kustannukset</w:t>
      </w:r>
      <w:r w:rsidR="00812ACA" w:rsidRPr="00812ACA">
        <w:rPr>
          <w:rFonts w:ascii="Times New Roman" w:hAnsi="Times New Roman" w:cs="Times New Roman"/>
          <w:i/>
        </w:rPr>
        <w:t>.</w:t>
      </w:r>
    </w:p>
    <w:p w:rsidR="00E923AF" w:rsidRDefault="004916B3" w:rsidP="00E923AF">
      <w:pPr>
        <w:ind w:left="1304"/>
        <w:jc w:val="both"/>
        <w:rPr>
          <w:rFonts w:ascii="Times New Roman" w:hAnsi="Times New Roman" w:cs="Times New Roman"/>
        </w:rPr>
      </w:pPr>
      <w:r>
        <w:rPr>
          <w:rFonts w:ascii="Times New Roman" w:hAnsi="Times New Roman" w:cs="Times New Roman"/>
        </w:rPr>
        <w:t xml:space="preserve">Pykälän 1 momentin 4 kohdan mukaan lähipiirihankinnat eivät ole investointituen tukikelpoisia kustannuksia. </w:t>
      </w:r>
      <w:r w:rsidR="00B307BB" w:rsidRPr="00B307BB">
        <w:rPr>
          <w:rFonts w:ascii="Times New Roman" w:hAnsi="Times New Roman" w:cs="Times New Roman"/>
        </w:rPr>
        <w:t>Pykälän 1 momentin 4 kohtaa</w:t>
      </w:r>
      <w:r w:rsidR="00B307BB">
        <w:rPr>
          <w:rFonts w:ascii="Times New Roman" w:hAnsi="Times New Roman" w:cs="Times New Roman"/>
        </w:rPr>
        <w:t xml:space="preserve"> muutettaisiin lisäämällä siihen viittaus lähipiiriä koskevaan määritelmään.</w:t>
      </w:r>
      <w:r w:rsidRPr="00B307BB">
        <w:rPr>
          <w:rFonts w:ascii="Times New Roman" w:hAnsi="Times New Roman" w:cs="Times New Roman"/>
        </w:rPr>
        <w:t xml:space="preserve"> </w:t>
      </w:r>
      <w:r w:rsidR="00E41643">
        <w:rPr>
          <w:rFonts w:ascii="Times New Roman" w:hAnsi="Times New Roman" w:cs="Times New Roman"/>
        </w:rPr>
        <w:t>Lähipiiriliiketoimien m</w:t>
      </w:r>
      <w:r w:rsidR="00AB546B">
        <w:rPr>
          <w:rFonts w:ascii="Times New Roman" w:hAnsi="Times New Roman" w:cs="Times New Roman"/>
        </w:rPr>
        <w:t>ääritelmä perustuu kirja</w:t>
      </w:r>
      <w:r w:rsidR="00E41643">
        <w:rPr>
          <w:rFonts w:ascii="Times New Roman" w:hAnsi="Times New Roman" w:cs="Times New Roman"/>
        </w:rPr>
        <w:t>npitoasetuksen</w:t>
      </w:r>
      <w:r w:rsidR="00AB546B">
        <w:rPr>
          <w:rFonts w:ascii="Times New Roman" w:hAnsi="Times New Roman" w:cs="Times New Roman"/>
        </w:rPr>
        <w:t xml:space="preserve"> (1339/</w:t>
      </w:r>
      <w:r w:rsidR="00B307BB">
        <w:rPr>
          <w:rFonts w:ascii="Times New Roman" w:hAnsi="Times New Roman" w:cs="Times New Roman"/>
        </w:rPr>
        <w:t>1997</w:t>
      </w:r>
      <w:r w:rsidR="00AB546B">
        <w:rPr>
          <w:rFonts w:ascii="Times New Roman" w:hAnsi="Times New Roman" w:cs="Times New Roman"/>
        </w:rPr>
        <w:t xml:space="preserve">) 2 luvun </w:t>
      </w:r>
      <w:r w:rsidR="00E41643">
        <w:rPr>
          <w:rFonts w:ascii="Times New Roman" w:hAnsi="Times New Roman" w:cs="Times New Roman"/>
        </w:rPr>
        <w:t>7 b §:ään ja kirjanpitolautakunnan</w:t>
      </w:r>
      <w:r w:rsidR="00B307BB">
        <w:rPr>
          <w:rFonts w:ascii="Times New Roman" w:hAnsi="Times New Roman" w:cs="Times New Roman"/>
        </w:rPr>
        <w:t xml:space="preserve"> 11.11.2008 antamaan</w:t>
      </w:r>
      <w:r w:rsidR="00E41643">
        <w:rPr>
          <w:rFonts w:ascii="Times New Roman" w:hAnsi="Times New Roman" w:cs="Times New Roman"/>
        </w:rPr>
        <w:t xml:space="preserve"> omaehtoiseen lausuntoon</w:t>
      </w:r>
      <w:r w:rsidR="00B307BB">
        <w:rPr>
          <w:rFonts w:ascii="Times New Roman" w:hAnsi="Times New Roman" w:cs="Times New Roman"/>
        </w:rPr>
        <w:t xml:space="preserve"> (numero 1829)</w:t>
      </w:r>
      <w:r w:rsidR="00E41643">
        <w:rPr>
          <w:rFonts w:ascii="Times New Roman" w:hAnsi="Times New Roman" w:cs="Times New Roman"/>
        </w:rPr>
        <w:t xml:space="preserve"> </w:t>
      </w:r>
      <w:r w:rsidR="00E41643" w:rsidRPr="00E41643">
        <w:rPr>
          <w:rFonts w:ascii="Times New Roman" w:hAnsi="Times New Roman" w:cs="Times New Roman"/>
        </w:rPr>
        <w:t>kirjanpitoasetuksen 2 luvun 7 b §:ssä tarkoitetusta lähipiiristä</w:t>
      </w:r>
      <w:r w:rsidR="00812ACA">
        <w:rPr>
          <w:rFonts w:ascii="Times New Roman" w:hAnsi="Times New Roman" w:cs="Times New Roman"/>
        </w:rPr>
        <w:t xml:space="preserve">. </w:t>
      </w:r>
      <w:r w:rsidR="00E923AF">
        <w:rPr>
          <w:rFonts w:ascii="Times New Roman" w:hAnsi="Times New Roman" w:cs="Times New Roman"/>
        </w:rPr>
        <w:t>Kirjanpitolautakunnan mainitun lausunnon mukaan osapuoli kuuluu yrityksen lähipiiriin jos:</w:t>
      </w:r>
    </w:p>
    <w:p w:rsidR="00E923AF" w:rsidRDefault="00E923AF" w:rsidP="00E923AF">
      <w:pPr>
        <w:ind w:left="1304"/>
        <w:jc w:val="both"/>
        <w:rPr>
          <w:rFonts w:ascii="Times New Roman" w:hAnsi="Times New Roman" w:cs="Times New Roman"/>
        </w:rPr>
      </w:pPr>
      <w:r w:rsidRPr="00E923AF">
        <w:rPr>
          <w:rFonts w:ascii="Times New Roman" w:hAnsi="Times New Roman" w:cs="Times New Roman"/>
        </w:rPr>
        <w:t>1) osapuoli välittömästi tai yhden tai useamman välikäden kautta välillisesti a) käyttää yrityksessä määräysvaltaa, on yrityksen määräysvallassa tai on yrityksen kanssa saman määräysvallan alaisena (tämä kattaa emo-, tytär- ja sisaryritykset), b) omistaa yrityksestä sellaisen osuuden, joka tuottaa sille huomattavan vaikutusvallan yrityksessä (vähintään 20 %:n osuus osakkeiden tai osuuksien tuottamasta äänimäärästä) tai c) käyttää yrityksessä toisen osapuolen</w:t>
      </w:r>
      <w:r>
        <w:rPr>
          <w:rFonts w:ascii="Times New Roman" w:hAnsi="Times New Roman" w:cs="Times New Roman"/>
        </w:rPr>
        <w:t xml:space="preserve"> kanssa yhteistä määräysvaltaa;</w:t>
      </w:r>
    </w:p>
    <w:p w:rsidR="00E923AF" w:rsidRPr="00E923AF" w:rsidRDefault="00E923AF" w:rsidP="00E923AF">
      <w:pPr>
        <w:ind w:left="1304"/>
        <w:jc w:val="both"/>
        <w:rPr>
          <w:rFonts w:ascii="Times New Roman" w:hAnsi="Times New Roman" w:cs="Times New Roman"/>
        </w:rPr>
      </w:pPr>
      <w:r w:rsidRPr="00E923AF">
        <w:rPr>
          <w:rFonts w:ascii="Times New Roman" w:hAnsi="Times New Roman" w:cs="Times New Roman"/>
        </w:rPr>
        <w:t>2) osapuoli on yrityksen osakkuusyritys (vähintään 20 %:n osuus osakkeiden tai osuuksien tuottamasta äänimäärästä);</w:t>
      </w:r>
    </w:p>
    <w:p w:rsidR="00E923AF" w:rsidRPr="00E923AF" w:rsidRDefault="00E923AF" w:rsidP="00E923AF">
      <w:pPr>
        <w:ind w:left="1304"/>
        <w:jc w:val="both"/>
        <w:rPr>
          <w:rFonts w:ascii="Times New Roman" w:hAnsi="Times New Roman" w:cs="Times New Roman"/>
        </w:rPr>
      </w:pPr>
      <w:r w:rsidRPr="00E923AF">
        <w:rPr>
          <w:rFonts w:ascii="Times New Roman" w:hAnsi="Times New Roman" w:cs="Times New Roman"/>
        </w:rPr>
        <w:t>3) osapuoli on yhteisyritys, jossa yritys on osapuolena;</w:t>
      </w:r>
    </w:p>
    <w:p w:rsidR="00E923AF" w:rsidRPr="00E923AF" w:rsidRDefault="00E923AF" w:rsidP="00E923AF">
      <w:pPr>
        <w:ind w:left="1304"/>
        <w:jc w:val="both"/>
        <w:rPr>
          <w:rFonts w:ascii="Times New Roman" w:hAnsi="Times New Roman" w:cs="Times New Roman"/>
        </w:rPr>
      </w:pPr>
      <w:r w:rsidRPr="00E923AF">
        <w:rPr>
          <w:rFonts w:ascii="Times New Roman" w:hAnsi="Times New Roman" w:cs="Times New Roman"/>
        </w:rPr>
        <w:t>4) osapuoli on yrityksen tai sen emoyrityksen johtoon kuuluva avainhenkilö;</w:t>
      </w:r>
    </w:p>
    <w:p w:rsidR="00E923AF" w:rsidRPr="00E923AF" w:rsidRDefault="00E923AF" w:rsidP="00E923AF">
      <w:pPr>
        <w:ind w:left="1304"/>
        <w:jc w:val="both"/>
        <w:rPr>
          <w:rFonts w:ascii="Times New Roman" w:hAnsi="Times New Roman" w:cs="Times New Roman"/>
        </w:rPr>
      </w:pPr>
      <w:r w:rsidRPr="00E923AF">
        <w:rPr>
          <w:rFonts w:ascii="Times New Roman" w:hAnsi="Times New Roman" w:cs="Times New Roman"/>
        </w:rPr>
        <w:t xml:space="preserve">5) osapuoli on kohdissa (1) tai (4) tarkoitetun henkilön läheinen perheenjäsen; </w:t>
      </w:r>
    </w:p>
    <w:p w:rsidR="00E923AF" w:rsidRDefault="00E923AF" w:rsidP="00182F9C">
      <w:pPr>
        <w:ind w:left="1304"/>
        <w:jc w:val="both"/>
        <w:rPr>
          <w:rFonts w:ascii="Times New Roman" w:hAnsi="Times New Roman" w:cs="Times New Roman"/>
        </w:rPr>
      </w:pPr>
      <w:r w:rsidRPr="00E923AF">
        <w:rPr>
          <w:rFonts w:ascii="Times New Roman" w:hAnsi="Times New Roman" w:cs="Times New Roman"/>
        </w:rPr>
        <w:t>6) osapuoli on yhteisö, jossa kohdassa (4) tai (5) tarkoitettu henkilö käyttää välittömästi tai välillisesti määräysvaltaa tai huomattavaa vaikutusvaltaa tai jossa tällaisella henkilöllä on välittömästi tai välillisesti merkittävä äänivalta.</w:t>
      </w:r>
    </w:p>
    <w:p w:rsidR="00440FC0" w:rsidRPr="00B307BB" w:rsidRDefault="00812ACA" w:rsidP="00C16FFD">
      <w:pPr>
        <w:ind w:left="1304"/>
        <w:jc w:val="both"/>
        <w:rPr>
          <w:rFonts w:ascii="Times New Roman" w:hAnsi="Times New Roman" w:cs="Times New Roman"/>
        </w:rPr>
      </w:pPr>
      <w:r w:rsidRPr="00B307BB">
        <w:rPr>
          <w:rFonts w:ascii="Times New Roman" w:hAnsi="Times New Roman" w:cs="Times New Roman"/>
        </w:rPr>
        <w:t xml:space="preserve">Pykälään lisättäisiin </w:t>
      </w:r>
      <w:r w:rsidR="00B307BB" w:rsidRPr="00B307BB">
        <w:rPr>
          <w:rFonts w:ascii="Times New Roman" w:hAnsi="Times New Roman" w:cs="Times New Roman"/>
        </w:rPr>
        <w:t>2</w:t>
      </w:r>
      <w:r w:rsidRPr="00B307BB">
        <w:rPr>
          <w:rFonts w:ascii="Times New Roman" w:hAnsi="Times New Roman" w:cs="Times New Roman"/>
        </w:rPr>
        <w:t xml:space="preserve"> momentti, jossa säädettäisiin erityistilanteesta (ns. läpilaskutus), jossa lähipiiriltä tehdyn hankinnan kustannukset voisivat poikkeuksellisesti olla tukikelpoisia. </w:t>
      </w:r>
    </w:p>
    <w:p w:rsidR="00812ACA" w:rsidRDefault="00812ACA" w:rsidP="00182F9C">
      <w:pPr>
        <w:ind w:left="1304"/>
        <w:rPr>
          <w:rFonts w:ascii="Times New Roman" w:hAnsi="Times New Roman" w:cs="Times New Roman"/>
        </w:rPr>
      </w:pPr>
      <w:r>
        <w:rPr>
          <w:rFonts w:ascii="Times New Roman" w:hAnsi="Times New Roman" w:cs="Times New Roman"/>
        </w:rPr>
        <w:t xml:space="preserve">27 §. </w:t>
      </w:r>
      <w:r w:rsidRPr="00812ACA">
        <w:rPr>
          <w:rFonts w:ascii="Times New Roman" w:hAnsi="Times New Roman" w:cs="Times New Roman"/>
          <w:i/>
        </w:rPr>
        <w:t>Investointituen määrä</w:t>
      </w:r>
      <w:r>
        <w:rPr>
          <w:rFonts w:ascii="Times New Roman" w:hAnsi="Times New Roman" w:cs="Times New Roman"/>
        </w:rPr>
        <w:t>.</w:t>
      </w:r>
    </w:p>
    <w:p w:rsidR="00D92BB9" w:rsidRDefault="00C75F46" w:rsidP="00182F9C">
      <w:pPr>
        <w:ind w:left="1304"/>
        <w:jc w:val="both"/>
        <w:rPr>
          <w:rFonts w:ascii="Times New Roman" w:hAnsi="Times New Roman" w:cs="Times New Roman"/>
        </w:rPr>
      </w:pPr>
      <w:r>
        <w:rPr>
          <w:rFonts w:ascii="Times New Roman" w:hAnsi="Times New Roman" w:cs="Times New Roman"/>
        </w:rPr>
        <w:t>P</w:t>
      </w:r>
      <w:r w:rsidR="008B7D30">
        <w:rPr>
          <w:rFonts w:ascii="Times New Roman" w:hAnsi="Times New Roman" w:cs="Times New Roman"/>
        </w:rPr>
        <w:t xml:space="preserve">ykälän 1 momentin 3 kohtaa </w:t>
      </w:r>
      <w:r w:rsidR="0083273A">
        <w:rPr>
          <w:rFonts w:ascii="Times New Roman" w:hAnsi="Times New Roman" w:cs="Times New Roman"/>
        </w:rPr>
        <w:t>täsmennettäisiin</w:t>
      </w:r>
      <w:r>
        <w:rPr>
          <w:rFonts w:ascii="Times New Roman" w:hAnsi="Times New Roman" w:cs="Times New Roman"/>
        </w:rPr>
        <w:t xml:space="preserve"> lisäämällä siihen tukitaso (20 %), jota noudatetaan tukialueesta riippumatta tuettaessa </w:t>
      </w:r>
      <w:r w:rsidR="005F1281">
        <w:rPr>
          <w:rFonts w:ascii="Times New Roman" w:hAnsi="Times New Roman" w:cs="Times New Roman"/>
        </w:rPr>
        <w:t>pidemmälle jalostettuja kiinteitä polttoaineita koskevia investointeja (pelle</w:t>
      </w:r>
      <w:r w:rsidR="00D92BB9">
        <w:rPr>
          <w:rFonts w:ascii="Times New Roman" w:hAnsi="Times New Roman" w:cs="Times New Roman"/>
        </w:rPr>
        <w:t>tit, briketit, biohiili ja muut</w:t>
      </w:r>
      <w:r w:rsidR="005F1281">
        <w:rPr>
          <w:rFonts w:ascii="Times New Roman" w:hAnsi="Times New Roman" w:cs="Times New Roman"/>
        </w:rPr>
        <w:t xml:space="preserve"> vastaavat pidemmälle jalostetut polttoaineet). Lisäksi täsmennettäisiin, että tuettaessa polttopuun, puutähdehakkeen, puuperäisten kierrätyspolttoaineiden ja muiden </w:t>
      </w:r>
      <w:r w:rsidR="00D92BB9">
        <w:rPr>
          <w:rFonts w:ascii="Times New Roman" w:hAnsi="Times New Roman" w:cs="Times New Roman"/>
        </w:rPr>
        <w:t xml:space="preserve">kiinteiden </w:t>
      </w:r>
      <w:r w:rsidR="005F1281">
        <w:rPr>
          <w:rFonts w:ascii="Times New Roman" w:hAnsi="Times New Roman" w:cs="Times New Roman"/>
        </w:rPr>
        <w:t>puuperäisten polttoaineiden tuotantoa, noudatettaisiin 20 %:n tukitasoa tukialueesta riippumatta. Näihin tukiin sovellettavista valtiontukisäännöistä s</w:t>
      </w:r>
      <w:r w:rsidR="00D92BB9">
        <w:rPr>
          <w:rFonts w:ascii="Times New Roman" w:hAnsi="Times New Roman" w:cs="Times New Roman"/>
        </w:rPr>
        <w:t xml:space="preserve">äädetään </w:t>
      </w:r>
      <w:r w:rsidR="005F1281">
        <w:rPr>
          <w:rFonts w:ascii="Times New Roman" w:hAnsi="Times New Roman" w:cs="Times New Roman"/>
        </w:rPr>
        <w:t>asetuksen 8 §:ssä (</w:t>
      </w:r>
      <w:r w:rsidR="005F1281" w:rsidRPr="00CA7752">
        <w:rPr>
          <w:rFonts w:ascii="Times New Roman" w:hAnsi="Times New Roman" w:cs="Times New Roman"/>
        </w:rPr>
        <w:t>Valtiontukea koskevien säännösten soveltaminen</w:t>
      </w:r>
      <w:r w:rsidR="005F1281">
        <w:rPr>
          <w:rFonts w:ascii="Times New Roman" w:hAnsi="Times New Roman" w:cs="Times New Roman"/>
        </w:rPr>
        <w:t xml:space="preserve">). </w:t>
      </w:r>
    </w:p>
    <w:p w:rsidR="00737193" w:rsidRDefault="003F390D" w:rsidP="00182F9C">
      <w:pPr>
        <w:ind w:left="1304"/>
        <w:jc w:val="both"/>
        <w:rPr>
          <w:rFonts w:ascii="Times New Roman" w:hAnsi="Times New Roman" w:cs="Times New Roman"/>
        </w:rPr>
      </w:pPr>
      <w:r>
        <w:rPr>
          <w:rFonts w:ascii="Times New Roman" w:hAnsi="Times New Roman" w:cs="Times New Roman"/>
        </w:rPr>
        <w:lastRenderedPageBreak/>
        <w:t xml:space="preserve">Pykälään lisättäisiin uusi 6 momentti, jossa täsmennettäisiin, miten </w:t>
      </w:r>
      <w:r w:rsidR="009A7FC9">
        <w:rPr>
          <w:rFonts w:ascii="Times New Roman" w:hAnsi="Times New Roman" w:cs="Times New Roman"/>
        </w:rPr>
        <w:t xml:space="preserve">muun </w:t>
      </w:r>
      <w:r w:rsidR="009A7FC9" w:rsidRPr="009A7FC9">
        <w:rPr>
          <w:rFonts w:ascii="Times New Roman" w:hAnsi="Times New Roman" w:cs="Times New Roman"/>
        </w:rPr>
        <w:t>tukea myöntävän tahon</w:t>
      </w:r>
      <w:r w:rsidR="009A7FC9">
        <w:rPr>
          <w:rFonts w:ascii="Times New Roman" w:hAnsi="Times New Roman" w:cs="Times New Roman"/>
          <w:color w:val="FF0000"/>
        </w:rPr>
        <w:t xml:space="preserve"> </w:t>
      </w:r>
      <w:r w:rsidR="009A7FC9">
        <w:rPr>
          <w:rFonts w:ascii="Times New Roman" w:hAnsi="Times New Roman" w:cs="Times New Roman"/>
        </w:rPr>
        <w:t xml:space="preserve">ajallisesti saamaan investointikohteeseen </w:t>
      </w:r>
      <w:r>
        <w:rPr>
          <w:rFonts w:ascii="Times New Roman" w:hAnsi="Times New Roman" w:cs="Times New Roman"/>
        </w:rPr>
        <w:t>myöntämään lainaan</w:t>
      </w:r>
      <w:r w:rsidR="00776BC5">
        <w:rPr>
          <w:rFonts w:ascii="Times New Roman" w:hAnsi="Times New Roman" w:cs="Times New Roman"/>
        </w:rPr>
        <w:t xml:space="preserve"> ja</w:t>
      </w:r>
      <w:r>
        <w:rPr>
          <w:rFonts w:ascii="Times New Roman" w:hAnsi="Times New Roman" w:cs="Times New Roman"/>
        </w:rPr>
        <w:t xml:space="preserve"> takaukseen sisältyvän julkisen tuen osuus tulisi ottaa huomioon tukien yhteenlasketussa enimmäismäärässä. </w:t>
      </w:r>
      <w:r w:rsidR="00F4796B">
        <w:rPr>
          <w:rFonts w:ascii="Times New Roman" w:hAnsi="Times New Roman" w:cs="Times New Roman"/>
        </w:rPr>
        <w:t>Nykyinen 6 momentti siirtyisi 7 momentiksi.</w:t>
      </w:r>
    </w:p>
    <w:p w:rsidR="005F1281" w:rsidRPr="005D03A0" w:rsidRDefault="005D03A0" w:rsidP="00182F9C">
      <w:pPr>
        <w:ind w:left="1304"/>
        <w:jc w:val="both"/>
        <w:rPr>
          <w:rFonts w:ascii="Times New Roman" w:hAnsi="Times New Roman" w:cs="Times New Roman"/>
        </w:rPr>
      </w:pPr>
      <w:r w:rsidRPr="005D03A0">
        <w:rPr>
          <w:rFonts w:ascii="Times New Roman" w:hAnsi="Times New Roman" w:cs="Times New Roman"/>
        </w:rPr>
        <w:t>Lisäksi on tiedossa, että Euroopan komissio on hyväksynyt äskettäin muutoksia Suomen aluetukikarttaan, jonka mukaisia tukitasoja noudatetaan myönnettäessä alueelli</w:t>
      </w:r>
      <w:r>
        <w:rPr>
          <w:rFonts w:ascii="Times New Roman" w:hAnsi="Times New Roman" w:cs="Times New Roman"/>
        </w:rPr>
        <w:t xml:space="preserve">sta investointitukea 1.1.2017 lukien.  </w:t>
      </w:r>
      <w:r w:rsidR="00C17356">
        <w:rPr>
          <w:rFonts w:ascii="Times New Roman" w:hAnsi="Times New Roman" w:cs="Times New Roman"/>
        </w:rPr>
        <w:t>Investointituen määrään (27 §:n 1 momentin 1 kohta) liittyvät m</w:t>
      </w:r>
      <w:r>
        <w:rPr>
          <w:rFonts w:ascii="Times New Roman" w:hAnsi="Times New Roman" w:cs="Times New Roman"/>
        </w:rPr>
        <w:t>uuttuneet</w:t>
      </w:r>
      <w:r w:rsidRPr="005D03A0">
        <w:rPr>
          <w:rFonts w:ascii="Times New Roman" w:hAnsi="Times New Roman" w:cs="Times New Roman"/>
        </w:rPr>
        <w:t xml:space="preserve"> tukitasot voidaan ottaa käyttöön </w:t>
      </w:r>
      <w:r w:rsidR="00737193">
        <w:rPr>
          <w:rFonts w:ascii="Times New Roman" w:hAnsi="Times New Roman" w:cs="Times New Roman"/>
        </w:rPr>
        <w:t xml:space="preserve">maaseudun yritystuen osalta </w:t>
      </w:r>
      <w:r>
        <w:rPr>
          <w:rFonts w:ascii="Times New Roman" w:hAnsi="Times New Roman" w:cs="Times New Roman"/>
        </w:rPr>
        <w:t xml:space="preserve">kuitenkin </w:t>
      </w:r>
      <w:r w:rsidRPr="005D03A0">
        <w:rPr>
          <w:rFonts w:ascii="Times New Roman" w:hAnsi="Times New Roman" w:cs="Times New Roman"/>
        </w:rPr>
        <w:t>vasta sen jälkeen, kun maaseutuohjelmaa on muutettu. Maaseutuohjelmaa voidaan muuttaa seuraavan kerran vuonna 2018</w:t>
      </w:r>
      <w:r w:rsidR="00737193">
        <w:rPr>
          <w:rFonts w:ascii="Times New Roman" w:hAnsi="Times New Roman" w:cs="Times New Roman"/>
        </w:rPr>
        <w:t>.</w:t>
      </w:r>
    </w:p>
    <w:p w:rsidR="00626C72" w:rsidRPr="006B3616" w:rsidRDefault="006B3616" w:rsidP="00182F9C">
      <w:pPr>
        <w:ind w:left="1304"/>
        <w:jc w:val="both"/>
        <w:rPr>
          <w:rFonts w:ascii="Times New Roman" w:hAnsi="Times New Roman" w:cs="Times New Roman"/>
        </w:rPr>
      </w:pPr>
      <w:r w:rsidRPr="006B3616">
        <w:rPr>
          <w:rFonts w:ascii="Times New Roman" w:hAnsi="Times New Roman" w:cs="Times New Roman"/>
        </w:rPr>
        <w:t xml:space="preserve">28 §. </w:t>
      </w:r>
      <w:r w:rsidRPr="006B3616">
        <w:rPr>
          <w:rFonts w:ascii="Times New Roman" w:hAnsi="Times New Roman" w:cs="Times New Roman"/>
          <w:i/>
        </w:rPr>
        <w:t>Perustamistuen maksaminen</w:t>
      </w:r>
    </w:p>
    <w:p w:rsidR="00626C72" w:rsidRDefault="00626C72" w:rsidP="00626C72">
      <w:pPr>
        <w:ind w:left="1304"/>
        <w:jc w:val="both"/>
        <w:rPr>
          <w:rFonts w:ascii="Times New Roman" w:hAnsi="Times New Roman" w:cs="Times New Roman"/>
        </w:rPr>
      </w:pPr>
      <w:r>
        <w:rPr>
          <w:rFonts w:ascii="Times New Roman" w:hAnsi="Times New Roman" w:cs="Times New Roman"/>
        </w:rPr>
        <w:t xml:space="preserve">Pykälään lisättäisiin uusi 1 momentti, jonka mukaan perustamistuki maksettaisiin tukipäätöksessä hyväksyttyjen </w:t>
      </w:r>
      <w:r w:rsidRPr="00626C72">
        <w:rPr>
          <w:rFonts w:ascii="Times New Roman" w:hAnsi="Times New Roman" w:cs="Times New Roman"/>
        </w:rPr>
        <w:t>toimenpiteiden toteuttamista vastaavina erinä.</w:t>
      </w:r>
      <w:r>
        <w:rPr>
          <w:rFonts w:ascii="Times New Roman" w:hAnsi="Times New Roman" w:cs="Times New Roman"/>
        </w:rPr>
        <w:t xml:space="preserve"> </w:t>
      </w:r>
      <w:r w:rsidRPr="00626C72">
        <w:rPr>
          <w:rFonts w:ascii="Times New Roman" w:hAnsi="Times New Roman" w:cs="Times New Roman"/>
        </w:rPr>
        <w:t xml:space="preserve"> Perustamistuen ensimmäinen maksuerä voi</w:t>
      </w:r>
      <w:r>
        <w:rPr>
          <w:rFonts w:ascii="Times New Roman" w:hAnsi="Times New Roman" w:cs="Times New Roman"/>
        </w:rPr>
        <w:t>si</w:t>
      </w:r>
      <w:r w:rsidRPr="00626C72">
        <w:rPr>
          <w:rFonts w:ascii="Times New Roman" w:hAnsi="Times New Roman" w:cs="Times New Roman"/>
        </w:rPr>
        <w:t xml:space="preserve"> olla enintään </w:t>
      </w:r>
      <w:r w:rsidR="00737193">
        <w:rPr>
          <w:rFonts w:ascii="Times New Roman" w:hAnsi="Times New Roman" w:cs="Times New Roman"/>
        </w:rPr>
        <w:t>kolmasosa</w:t>
      </w:r>
      <w:r w:rsidRPr="00626C72">
        <w:rPr>
          <w:rFonts w:ascii="Times New Roman" w:hAnsi="Times New Roman" w:cs="Times New Roman"/>
        </w:rPr>
        <w:t xml:space="preserve"> myönnetyn perustamistuen määrästä.</w:t>
      </w:r>
      <w:r>
        <w:rPr>
          <w:rFonts w:ascii="Times New Roman" w:hAnsi="Times New Roman" w:cs="Times New Roman"/>
        </w:rPr>
        <w:t xml:space="preserve"> </w:t>
      </w:r>
    </w:p>
    <w:p w:rsidR="00716E2C" w:rsidRDefault="006B3616" w:rsidP="00182F9C">
      <w:pPr>
        <w:ind w:left="1304"/>
        <w:jc w:val="both"/>
        <w:rPr>
          <w:rFonts w:ascii="Times New Roman" w:hAnsi="Times New Roman" w:cs="Times New Roman"/>
        </w:rPr>
      </w:pPr>
      <w:r>
        <w:rPr>
          <w:rFonts w:ascii="Times New Roman" w:hAnsi="Times New Roman" w:cs="Times New Roman"/>
        </w:rPr>
        <w:t xml:space="preserve">Pykälän 2 momenttiin lisättäisiin täsmennys, jonka mukaan ensimmäisen erän maksamisella tarkoitetaan tässä </w:t>
      </w:r>
      <w:r w:rsidR="004F6800">
        <w:rPr>
          <w:rFonts w:ascii="Times New Roman" w:hAnsi="Times New Roman" w:cs="Times New Roman"/>
        </w:rPr>
        <w:t>ensimmäisen erän maksamista ainoastaan</w:t>
      </w:r>
      <w:r>
        <w:rPr>
          <w:rFonts w:ascii="Times New Roman" w:hAnsi="Times New Roman" w:cs="Times New Roman"/>
        </w:rPr>
        <w:t xml:space="preserve"> uudelle perustettavalle yritykselle</w:t>
      </w:r>
      <w:r w:rsidR="004F6800">
        <w:rPr>
          <w:rFonts w:ascii="Times New Roman" w:hAnsi="Times New Roman" w:cs="Times New Roman"/>
        </w:rPr>
        <w:t xml:space="preserve"> tai sen toteuttamaan kokeiluun</w:t>
      </w:r>
      <w:r>
        <w:rPr>
          <w:rFonts w:ascii="Times New Roman" w:hAnsi="Times New Roman" w:cs="Times New Roman"/>
        </w:rPr>
        <w:t xml:space="preserve"> sen jälkeen, </w:t>
      </w:r>
      <w:r w:rsidRPr="006B3616">
        <w:rPr>
          <w:rFonts w:ascii="Times New Roman" w:hAnsi="Times New Roman" w:cs="Times New Roman"/>
        </w:rPr>
        <w:t>kun toimenpidesuunnitelma on hyväksytty tukipäätöksellä ja yritys on perustettu ja merkitty voimassa olevien säännösten mukaisesti kaupparekisteriin, arvonlisäverovelvollisten rekisteriin ja ennakkoperintärekisteriin.</w:t>
      </w:r>
      <w:r w:rsidR="004F6800">
        <w:rPr>
          <w:rFonts w:ascii="Times New Roman" w:hAnsi="Times New Roman" w:cs="Times New Roman"/>
        </w:rPr>
        <w:t xml:space="preserve"> Perustamistoimiin liittyvän ensimmäisen erän maksutavasta riippumatta </w:t>
      </w:r>
      <w:r w:rsidR="00626C72">
        <w:rPr>
          <w:rFonts w:ascii="Times New Roman" w:hAnsi="Times New Roman" w:cs="Times New Roman"/>
        </w:rPr>
        <w:t xml:space="preserve">uuden </w:t>
      </w:r>
      <w:r w:rsidR="004F6800">
        <w:rPr>
          <w:rFonts w:ascii="Times New Roman" w:hAnsi="Times New Roman" w:cs="Times New Roman"/>
        </w:rPr>
        <w:t>p</w:t>
      </w:r>
      <w:r>
        <w:rPr>
          <w:rFonts w:ascii="Times New Roman" w:hAnsi="Times New Roman" w:cs="Times New Roman"/>
        </w:rPr>
        <w:t>erustettavan yrityksen tulee yksilöidä toimenpidesuu</w:t>
      </w:r>
      <w:r w:rsidR="004F6800">
        <w:rPr>
          <w:rFonts w:ascii="Times New Roman" w:hAnsi="Times New Roman" w:cs="Times New Roman"/>
        </w:rPr>
        <w:t xml:space="preserve">nnitelmassa, mitä toimenpiteitä, hyväksytyn toimenpidesuunnitelman, yrityksen perustamisen, kaupparekisteriin, arvonlisäverovelvollisten rekisteriin ja ennakkoperintärekisteriin merkitsemisen lisäksi, </w:t>
      </w:r>
      <w:r w:rsidR="00737193">
        <w:rPr>
          <w:rFonts w:ascii="Times New Roman" w:hAnsi="Times New Roman" w:cs="Times New Roman"/>
        </w:rPr>
        <w:t xml:space="preserve">yritys tuen avulla toteuttaa. </w:t>
      </w:r>
      <w:r w:rsidR="004F6800">
        <w:rPr>
          <w:rFonts w:ascii="Times New Roman" w:hAnsi="Times New Roman" w:cs="Times New Roman"/>
        </w:rPr>
        <w:t xml:space="preserve">Toista erää maksettaessa varmistetaan, että ensimmäistä maksuerää vastaavat varsinaiset </w:t>
      </w:r>
      <w:r w:rsidR="00C70323">
        <w:rPr>
          <w:rFonts w:ascii="Times New Roman" w:hAnsi="Times New Roman" w:cs="Times New Roman"/>
        </w:rPr>
        <w:t xml:space="preserve">toimenpidesuunnitelmassa vahvistetut </w:t>
      </w:r>
      <w:r w:rsidR="004F6800">
        <w:rPr>
          <w:rFonts w:ascii="Times New Roman" w:hAnsi="Times New Roman" w:cs="Times New Roman"/>
        </w:rPr>
        <w:t xml:space="preserve">toimenpiteet on toteutettu. </w:t>
      </w:r>
    </w:p>
    <w:p w:rsidR="004F6800" w:rsidRDefault="004F6800" w:rsidP="00182F9C">
      <w:pPr>
        <w:ind w:left="1304"/>
        <w:jc w:val="both"/>
        <w:rPr>
          <w:rFonts w:ascii="Times New Roman" w:hAnsi="Times New Roman" w:cs="Times New Roman"/>
        </w:rPr>
      </w:pPr>
      <w:r w:rsidRPr="004F6800">
        <w:rPr>
          <w:rFonts w:ascii="Times New Roman" w:hAnsi="Times New Roman" w:cs="Times New Roman"/>
        </w:rPr>
        <w:t>34 §.</w:t>
      </w:r>
      <w:r>
        <w:rPr>
          <w:rFonts w:ascii="Times New Roman" w:hAnsi="Times New Roman" w:cs="Times New Roman"/>
        </w:rPr>
        <w:t xml:space="preserve"> </w:t>
      </w:r>
      <w:r w:rsidRPr="004F6800">
        <w:rPr>
          <w:rFonts w:ascii="Times New Roman" w:hAnsi="Times New Roman" w:cs="Times New Roman"/>
          <w:i/>
        </w:rPr>
        <w:t>Toimenpiteen aloittaminen</w:t>
      </w:r>
      <w:r w:rsidRPr="004F6800">
        <w:rPr>
          <w:rFonts w:ascii="Times New Roman" w:hAnsi="Times New Roman" w:cs="Times New Roman"/>
        </w:rPr>
        <w:t>.</w:t>
      </w:r>
    </w:p>
    <w:p w:rsidR="00AE0819" w:rsidRPr="006D3503" w:rsidRDefault="00E3515D" w:rsidP="002709BC">
      <w:pPr>
        <w:ind w:left="1304"/>
        <w:jc w:val="both"/>
        <w:rPr>
          <w:rFonts w:ascii="Times New Roman" w:hAnsi="Times New Roman" w:cs="Times New Roman"/>
        </w:rPr>
      </w:pPr>
      <w:r>
        <w:rPr>
          <w:rFonts w:ascii="Times New Roman" w:hAnsi="Times New Roman" w:cs="Times New Roman"/>
        </w:rPr>
        <w:t xml:space="preserve">Pykälän </w:t>
      </w:r>
      <w:r w:rsidR="00E907A3">
        <w:rPr>
          <w:rFonts w:ascii="Times New Roman" w:hAnsi="Times New Roman" w:cs="Times New Roman"/>
        </w:rPr>
        <w:t>2</w:t>
      </w:r>
      <w:r>
        <w:rPr>
          <w:rFonts w:ascii="Times New Roman" w:hAnsi="Times New Roman" w:cs="Times New Roman"/>
        </w:rPr>
        <w:t xml:space="preserve"> momentin 3 kohtaa täsmennettäisiin siten, että toimituksella tarkoitetaan koneen ja laitteen välineet ja kalusto mukaan lukien, toimitusta. ennen toimenpiteen aloittamista syntyneitä tukikelpoisia kustannuksia voisivat olla ainoastaan pykälän 4 momentin 2 kohdan mukaisesti lupien hankkiminen ja 3 kohdan mukaisesti yleiskustannuksia aiheuttavat toimenpiteet. </w:t>
      </w:r>
      <w:r w:rsidR="006D3503">
        <w:rPr>
          <w:rFonts w:ascii="Times New Roman" w:hAnsi="Times New Roman" w:cs="Times New Roman"/>
        </w:rPr>
        <w:t>Aineellisen o</w:t>
      </w:r>
      <w:r w:rsidR="007679C1">
        <w:rPr>
          <w:rFonts w:ascii="Times New Roman" w:hAnsi="Times New Roman" w:cs="Times New Roman"/>
        </w:rPr>
        <w:t>maisuuden hankkimiseen liittyviä</w:t>
      </w:r>
      <w:r w:rsidR="006D3503">
        <w:rPr>
          <w:rFonts w:ascii="Times New Roman" w:hAnsi="Times New Roman" w:cs="Times New Roman"/>
        </w:rPr>
        <w:t xml:space="preserve"> yleiskustannuksia koskeva ei-tyhjentävä luetelma löytyy maaseutuasetuksen 45 artiklan 2 kohdan c alakohdasta. Luetelma kattaa myös toteutettavuustutkimukset, joiden osalta ennen toimenpiteen aloittamista syntyviä kustannuksia ei kuitenka</w:t>
      </w:r>
      <w:r w:rsidR="00BB0D1C">
        <w:rPr>
          <w:rFonts w:ascii="Times New Roman" w:hAnsi="Times New Roman" w:cs="Times New Roman"/>
        </w:rPr>
        <w:t xml:space="preserve">an voida katsoa hyväksyttäviksi </w:t>
      </w:r>
      <w:r w:rsidR="006D3503">
        <w:rPr>
          <w:rFonts w:ascii="Times New Roman" w:hAnsi="Times New Roman" w:cs="Times New Roman"/>
        </w:rPr>
        <w:t xml:space="preserve">kustannuksiksi, sillä aineellisen investoinnin toteutettavuustutkimuksista on säädetty omana tukimuotonaan </w:t>
      </w:r>
      <w:r w:rsidR="002530DA">
        <w:rPr>
          <w:rFonts w:ascii="Times New Roman" w:hAnsi="Times New Roman" w:cs="Times New Roman"/>
        </w:rPr>
        <w:t>asetuksen 23 §:s</w:t>
      </w:r>
      <w:r w:rsidR="007679C1">
        <w:rPr>
          <w:rFonts w:ascii="Times New Roman" w:hAnsi="Times New Roman" w:cs="Times New Roman"/>
        </w:rPr>
        <w:t xml:space="preserve">sä. </w:t>
      </w:r>
      <w:r w:rsidR="00BB0D1C">
        <w:rPr>
          <w:rFonts w:ascii="Times New Roman" w:hAnsi="Times New Roman" w:cs="Times New Roman"/>
        </w:rPr>
        <w:t>Toteu</w:t>
      </w:r>
      <w:r w:rsidR="002530DA">
        <w:rPr>
          <w:rFonts w:ascii="Times New Roman" w:hAnsi="Times New Roman" w:cs="Times New Roman"/>
        </w:rPr>
        <w:t>te</w:t>
      </w:r>
      <w:r w:rsidR="00BB0D1C">
        <w:rPr>
          <w:rFonts w:ascii="Times New Roman" w:hAnsi="Times New Roman" w:cs="Times New Roman"/>
        </w:rPr>
        <w:t xml:space="preserve">ttavuustutkimuksen kustannukset voivat olla hyväksyttäviä vasta sen jälkeen kun hakemus on jätetty ja tullut vireille. </w:t>
      </w:r>
      <w:r w:rsidR="007679C1">
        <w:rPr>
          <w:rFonts w:ascii="Times New Roman" w:hAnsi="Times New Roman" w:cs="Times New Roman"/>
        </w:rPr>
        <w:t>Toteutettavuustutkimuksen suorittaminen ei</w:t>
      </w:r>
      <w:r w:rsidR="00BB0D1C">
        <w:rPr>
          <w:rFonts w:ascii="Times New Roman" w:hAnsi="Times New Roman" w:cs="Times New Roman"/>
        </w:rPr>
        <w:t xml:space="preserve"> kuitenkaan merkitse varsinaisen</w:t>
      </w:r>
      <w:r w:rsidR="007679C1">
        <w:rPr>
          <w:rFonts w:ascii="Times New Roman" w:hAnsi="Times New Roman" w:cs="Times New Roman"/>
        </w:rPr>
        <w:t xml:space="preserve"> investoinnin aloittamista. </w:t>
      </w:r>
    </w:p>
    <w:p w:rsidR="00AE0819" w:rsidRDefault="00AE0819" w:rsidP="002709BC">
      <w:pPr>
        <w:spacing w:after="0"/>
        <w:ind w:left="1304"/>
        <w:rPr>
          <w:rFonts w:ascii="Times New Roman" w:eastAsia="Times New Roman" w:hAnsi="Times New Roman" w:cs="Times New Roman"/>
          <w:i/>
          <w:szCs w:val="24"/>
          <w:lang w:eastAsia="fi-FI"/>
        </w:rPr>
      </w:pPr>
      <w:r w:rsidRPr="00AE0819">
        <w:rPr>
          <w:rFonts w:ascii="Times New Roman" w:eastAsia="Times New Roman" w:hAnsi="Times New Roman" w:cs="Times New Roman"/>
          <w:szCs w:val="24"/>
          <w:lang w:eastAsia="fi-FI"/>
        </w:rPr>
        <w:t>36 §</w:t>
      </w:r>
      <w:r>
        <w:rPr>
          <w:rFonts w:ascii="Times New Roman" w:eastAsia="Times New Roman" w:hAnsi="Times New Roman" w:cs="Times New Roman"/>
          <w:szCs w:val="24"/>
          <w:lang w:eastAsia="fi-FI"/>
        </w:rPr>
        <w:t xml:space="preserve">. </w:t>
      </w:r>
      <w:r w:rsidRPr="00AE0819">
        <w:rPr>
          <w:rFonts w:ascii="Times New Roman" w:eastAsia="Times New Roman" w:hAnsi="Times New Roman" w:cs="Times New Roman"/>
          <w:i/>
          <w:szCs w:val="24"/>
          <w:lang w:eastAsia="fi-FI"/>
        </w:rPr>
        <w:t>Investoinnin pysyvyys ja tuen siirtäminen</w:t>
      </w:r>
      <w:r>
        <w:rPr>
          <w:rFonts w:ascii="Times New Roman" w:eastAsia="Times New Roman" w:hAnsi="Times New Roman" w:cs="Times New Roman"/>
          <w:i/>
          <w:szCs w:val="24"/>
          <w:lang w:eastAsia="fi-FI"/>
        </w:rPr>
        <w:t>.</w:t>
      </w:r>
    </w:p>
    <w:p w:rsidR="007E5130" w:rsidRDefault="007E5130" w:rsidP="002709BC">
      <w:pPr>
        <w:spacing w:after="0"/>
        <w:ind w:left="1304"/>
        <w:rPr>
          <w:rFonts w:ascii="Times New Roman" w:eastAsia="Times New Roman" w:hAnsi="Times New Roman" w:cs="Times New Roman"/>
          <w:i/>
          <w:szCs w:val="24"/>
          <w:lang w:eastAsia="fi-FI"/>
        </w:rPr>
      </w:pPr>
    </w:p>
    <w:p w:rsidR="007E5130" w:rsidRPr="00182F9C" w:rsidRDefault="00C57043" w:rsidP="002709BC">
      <w:pPr>
        <w:spacing w:after="0"/>
        <w:ind w:left="1304"/>
        <w:jc w:val="both"/>
        <w:rPr>
          <w:rFonts w:ascii="Times New Roman" w:eastAsia="Times New Roman" w:hAnsi="Times New Roman" w:cs="Times New Roman"/>
          <w:szCs w:val="24"/>
          <w:lang w:eastAsia="fi-FI"/>
        </w:rPr>
      </w:pPr>
      <w:r>
        <w:rPr>
          <w:rFonts w:ascii="Times New Roman" w:eastAsia="Times New Roman" w:hAnsi="Times New Roman" w:cs="Times New Roman"/>
          <w:szCs w:val="24"/>
          <w:lang w:eastAsia="fi-FI"/>
        </w:rPr>
        <w:t xml:space="preserve">Pykälän 3 momenttia täsmennettäisiin siten, että se koskee maksamatta olevaa tukea osittain tai kokonaan. </w:t>
      </w:r>
    </w:p>
    <w:p w:rsidR="006D3503" w:rsidRDefault="006D3503" w:rsidP="00182F9C">
      <w:pPr>
        <w:spacing w:after="0" w:line="220" w:lineRule="exact"/>
        <w:ind w:left="1304"/>
        <w:rPr>
          <w:rFonts w:ascii="Times New Roman" w:eastAsia="Times New Roman" w:hAnsi="Times New Roman" w:cs="Times New Roman"/>
          <w:i/>
          <w:szCs w:val="24"/>
          <w:lang w:eastAsia="fi-FI"/>
        </w:rPr>
      </w:pPr>
    </w:p>
    <w:sectPr w:rsidR="006D3503">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50" w:rsidRDefault="004C7250" w:rsidP="007E5130">
      <w:pPr>
        <w:spacing w:after="0" w:line="240" w:lineRule="auto"/>
      </w:pPr>
      <w:r>
        <w:separator/>
      </w:r>
    </w:p>
  </w:endnote>
  <w:endnote w:type="continuationSeparator" w:id="0">
    <w:p w:rsidR="004C7250" w:rsidRDefault="004C7250" w:rsidP="007E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2B" w:rsidRDefault="000C202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952078"/>
      <w:docPartObj>
        <w:docPartGallery w:val="Page Numbers (Bottom of Page)"/>
        <w:docPartUnique/>
      </w:docPartObj>
    </w:sdtPr>
    <w:sdtContent>
      <w:bookmarkStart w:id="0" w:name="_GoBack" w:displacedByCustomXml="prev"/>
      <w:bookmarkEnd w:id="0" w:displacedByCustomXml="prev"/>
      <w:p w:rsidR="00433840" w:rsidRDefault="00433840">
        <w:pPr>
          <w:pStyle w:val="Alatunniste"/>
          <w:jc w:val="center"/>
        </w:pPr>
        <w:r>
          <w:fldChar w:fldCharType="begin"/>
        </w:r>
        <w:r>
          <w:instrText>PAGE   \* MERGEFORMAT</w:instrText>
        </w:r>
        <w:r>
          <w:fldChar w:fldCharType="separate"/>
        </w:r>
        <w:r>
          <w:rPr>
            <w:noProof/>
          </w:rPr>
          <w:t>1</w:t>
        </w:r>
        <w:r>
          <w:fldChar w:fldCharType="end"/>
        </w:r>
      </w:p>
    </w:sdtContent>
  </w:sdt>
  <w:p w:rsidR="000C202B" w:rsidRDefault="000C202B">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2B" w:rsidRDefault="000C202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50" w:rsidRDefault="004C7250" w:rsidP="007E5130">
      <w:pPr>
        <w:spacing w:after="0" w:line="240" w:lineRule="auto"/>
      </w:pPr>
      <w:r>
        <w:separator/>
      </w:r>
    </w:p>
  </w:footnote>
  <w:footnote w:type="continuationSeparator" w:id="0">
    <w:p w:rsidR="004C7250" w:rsidRDefault="004C7250" w:rsidP="007E5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2B" w:rsidRDefault="000C202B">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C0" w:rsidRDefault="00440FC0">
    <w:pPr>
      <w:pStyle w:val="Yltunniste"/>
      <w:jc w:val="right"/>
    </w:pPr>
  </w:p>
  <w:p w:rsidR="00440FC0" w:rsidRDefault="00440FC0">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2B" w:rsidRDefault="000C202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85C60"/>
    <w:multiLevelType w:val="hybridMultilevel"/>
    <w:tmpl w:val="ED8CC8F0"/>
    <w:lvl w:ilvl="0" w:tplc="49965568">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64BF2F48"/>
    <w:multiLevelType w:val="hybridMultilevel"/>
    <w:tmpl w:val="6F4C32F6"/>
    <w:lvl w:ilvl="0" w:tplc="9BEE9BE0">
      <w:numFmt w:val="bullet"/>
      <w:lvlText w:val="-"/>
      <w:lvlJc w:val="left"/>
      <w:pPr>
        <w:ind w:left="1664" w:hanging="360"/>
      </w:pPr>
      <w:rPr>
        <w:rFonts w:ascii="Times New Roman" w:eastAsiaTheme="minorHAnsi"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04"/>
    <w:rsid w:val="000147BD"/>
    <w:rsid w:val="00033125"/>
    <w:rsid w:val="000573DC"/>
    <w:rsid w:val="000659C5"/>
    <w:rsid w:val="000718B0"/>
    <w:rsid w:val="00074311"/>
    <w:rsid w:val="00083B10"/>
    <w:rsid w:val="000A1E5C"/>
    <w:rsid w:val="000A772B"/>
    <w:rsid w:val="000B5ABF"/>
    <w:rsid w:val="000B7385"/>
    <w:rsid w:val="000C202B"/>
    <w:rsid w:val="000D129F"/>
    <w:rsid w:val="000D5815"/>
    <w:rsid w:val="000E03F1"/>
    <w:rsid w:val="00103D49"/>
    <w:rsid w:val="00106661"/>
    <w:rsid w:val="001103BD"/>
    <w:rsid w:val="0011143A"/>
    <w:rsid w:val="00117AC2"/>
    <w:rsid w:val="00132E76"/>
    <w:rsid w:val="001330F6"/>
    <w:rsid w:val="001418C6"/>
    <w:rsid w:val="00142F85"/>
    <w:rsid w:val="0015578F"/>
    <w:rsid w:val="00163893"/>
    <w:rsid w:val="00182F9C"/>
    <w:rsid w:val="00183788"/>
    <w:rsid w:val="001872AD"/>
    <w:rsid w:val="001A2FAD"/>
    <w:rsid w:val="001C3779"/>
    <w:rsid w:val="001C5B6A"/>
    <w:rsid w:val="001D0ABA"/>
    <w:rsid w:val="001D0E1C"/>
    <w:rsid w:val="001D69FD"/>
    <w:rsid w:val="001D79B2"/>
    <w:rsid w:val="001E5D27"/>
    <w:rsid w:val="001E7525"/>
    <w:rsid w:val="001E7B43"/>
    <w:rsid w:val="001F3FCB"/>
    <w:rsid w:val="00220AC5"/>
    <w:rsid w:val="00221F65"/>
    <w:rsid w:val="0022329A"/>
    <w:rsid w:val="00236082"/>
    <w:rsid w:val="00245A19"/>
    <w:rsid w:val="002530DA"/>
    <w:rsid w:val="002572F8"/>
    <w:rsid w:val="002709BC"/>
    <w:rsid w:val="002730A5"/>
    <w:rsid w:val="00274412"/>
    <w:rsid w:val="00277643"/>
    <w:rsid w:val="002836D3"/>
    <w:rsid w:val="002871BA"/>
    <w:rsid w:val="0029684A"/>
    <w:rsid w:val="002A1F46"/>
    <w:rsid w:val="002C344F"/>
    <w:rsid w:val="002C49C1"/>
    <w:rsid w:val="002C73EF"/>
    <w:rsid w:val="002D0BF9"/>
    <w:rsid w:val="002D6613"/>
    <w:rsid w:val="002F412E"/>
    <w:rsid w:val="002F5DDB"/>
    <w:rsid w:val="00313CC6"/>
    <w:rsid w:val="00322EED"/>
    <w:rsid w:val="00327950"/>
    <w:rsid w:val="003346E1"/>
    <w:rsid w:val="00341C45"/>
    <w:rsid w:val="003442AA"/>
    <w:rsid w:val="00364489"/>
    <w:rsid w:val="00375DC2"/>
    <w:rsid w:val="00380026"/>
    <w:rsid w:val="003836B2"/>
    <w:rsid w:val="0038686B"/>
    <w:rsid w:val="003A67B1"/>
    <w:rsid w:val="003B3A83"/>
    <w:rsid w:val="003D65E2"/>
    <w:rsid w:val="003D793C"/>
    <w:rsid w:val="003F286A"/>
    <w:rsid w:val="003F29F7"/>
    <w:rsid w:val="003F390D"/>
    <w:rsid w:val="003F4956"/>
    <w:rsid w:val="003F6764"/>
    <w:rsid w:val="00433840"/>
    <w:rsid w:val="00440FC0"/>
    <w:rsid w:val="004450EB"/>
    <w:rsid w:val="00450C43"/>
    <w:rsid w:val="004916B3"/>
    <w:rsid w:val="00492A92"/>
    <w:rsid w:val="00492C09"/>
    <w:rsid w:val="004A2A6E"/>
    <w:rsid w:val="004A331C"/>
    <w:rsid w:val="004B1654"/>
    <w:rsid w:val="004B680C"/>
    <w:rsid w:val="004C7250"/>
    <w:rsid w:val="004D4ABB"/>
    <w:rsid w:val="004E5C40"/>
    <w:rsid w:val="004E667F"/>
    <w:rsid w:val="004F4D35"/>
    <w:rsid w:val="004F5AD4"/>
    <w:rsid w:val="004F6800"/>
    <w:rsid w:val="0054056A"/>
    <w:rsid w:val="00563D25"/>
    <w:rsid w:val="0056690F"/>
    <w:rsid w:val="0057351C"/>
    <w:rsid w:val="00573E6C"/>
    <w:rsid w:val="00573FC2"/>
    <w:rsid w:val="005B4B05"/>
    <w:rsid w:val="005D03A0"/>
    <w:rsid w:val="005E7B17"/>
    <w:rsid w:val="005E7D45"/>
    <w:rsid w:val="005F1281"/>
    <w:rsid w:val="00603671"/>
    <w:rsid w:val="006109F5"/>
    <w:rsid w:val="00626C72"/>
    <w:rsid w:val="006344A5"/>
    <w:rsid w:val="006505FD"/>
    <w:rsid w:val="00653FD2"/>
    <w:rsid w:val="00664A3D"/>
    <w:rsid w:val="00667EA9"/>
    <w:rsid w:val="006918E8"/>
    <w:rsid w:val="006B3616"/>
    <w:rsid w:val="006C41AD"/>
    <w:rsid w:val="006D3503"/>
    <w:rsid w:val="006E0534"/>
    <w:rsid w:val="006E563F"/>
    <w:rsid w:val="006F7770"/>
    <w:rsid w:val="00710490"/>
    <w:rsid w:val="00710CB3"/>
    <w:rsid w:val="00715E43"/>
    <w:rsid w:val="00716E2C"/>
    <w:rsid w:val="00732F95"/>
    <w:rsid w:val="00737193"/>
    <w:rsid w:val="0074725B"/>
    <w:rsid w:val="00754E6F"/>
    <w:rsid w:val="007611DA"/>
    <w:rsid w:val="00765B1F"/>
    <w:rsid w:val="007679C1"/>
    <w:rsid w:val="00775157"/>
    <w:rsid w:val="00776BC5"/>
    <w:rsid w:val="00787716"/>
    <w:rsid w:val="00787F32"/>
    <w:rsid w:val="0079405C"/>
    <w:rsid w:val="007A74FE"/>
    <w:rsid w:val="007B034C"/>
    <w:rsid w:val="007B052F"/>
    <w:rsid w:val="007C1A57"/>
    <w:rsid w:val="007C4EAE"/>
    <w:rsid w:val="007C7215"/>
    <w:rsid w:val="007D0444"/>
    <w:rsid w:val="007D4E07"/>
    <w:rsid w:val="007D7418"/>
    <w:rsid w:val="007E47A4"/>
    <w:rsid w:val="007E5130"/>
    <w:rsid w:val="007E6E0C"/>
    <w:rsid w:val="00812ACA"/>
    <w:rsid w:val="008134F7"/>
    <w:rsid w:val="0082090A"/>
    <w:rsid w:val="008228BC"/>
    <w:rsid w:val="00823AEA"/>
    <w:rsid w:val="00826386"/>
    <w:rsid w:val="0083273A"/>
    <w:rsid w:val="0083602A"/>
    <w:rsid w:val="00844D99"/>
    <w:rsid w:val="00862578"/>
    <w:rsid w:val="008625D5"/>
    <w:rsid w:val="00873255"/>
    <w:rsid w:val="00882F14"/>
    <w:rsid w:val="00892882"/>
    <w:rsid w:val="008B4530"/>
    <w:rsid w:val="008B7D30"/>
    <w:rsid w:val="008C2701"/>
    <w:rsid w:val="008C3119"/>
    <w:rsid w:val="008C4228"/>
    <w:rsid w:val="008D121D"/>
    <w:rsid w:val="008D38AC"/>
    <w:rsid w:val="008E0F2F"/>
    <w:rsid w:val="008E6801"/>
    <w:rsid w:val="008F15B9"/>
    <w:rsid w:val="00923F26"/>
    <w:rsid w:val="0093405E"/>
    <w:rsid w:val="00937018"/>
    <w:rsid w:val="00942848"/>
    <w:rsid w:val="009467CC"/>
    <w:rsid w:val="00947987"/>
    <w:rsid w:val="00951AE0"/>
    <w:rsid w:val="00952ADE"/>
    <w:rsid w:val="00956FDC"/>
    <w:rsid w:val="009628C1"/>
    <w:rsid w:val="00995608"/>
    <w:rsid w:val="009A7FC9"/>
    <w:rsid w:val="009B1704"/>
    <w:rsid w:val="009C0E25"/>
    <w:rsid w:val="009C4C52"/>
    <w:rsid w:val="009D051D"/>
    <w:rsid w:val="009F0649"/>
    <w:rsid w:val="009F1EF2"/>
    <w:rsid w:val="00A13FBE"/>
    <w:rsid w:val="00A14342"/>
    <w:rsid w:val="00A154F4"/>
    <w:rsid w:val="00A23957"/>
    <w:rsid w:val="00A53CCC"/>
    <w:rsid w:val="00A576CE"/>
    <w:rsid w:val="00A623AD"/>
    <w:rsid w:val="00A71755"/>
    <w:rsid w:val="00A86591"/>
    <w:rsid w:val="00A93505"/>
    <w:rsid w:val="00A9714A"/>
    <w:rsid w:val="00A97B79"/>
    <w:rsid w:val="00AA0C43"/>
    <w:rsid w:val="00AB546B"/>
    <w:rsid w:val="00AC6EEF"/>
    <w:rsid w:val="00AC78AF"/>
    <w:rsid w:val="00AE0819"/>
    <w:rsid w:val="00AF4375"/>
    <w:rsid w:val="00B136CB"/>
    <w:rsid w:val="00B158DC"/>
    <w:rsid w:val="00B307BB"/>
    <w:rsid w:val="00B31D98"/>
    <w:rsid w:val="00B37005"/>
    <w:rsid w:val="00B406D0"/>
    <w:rsid w:val="00B40D39"/>
    <w:rsid w:val="00B51ECC"/>
    <w:rsid w:val="00B611C0"/>
    <w:rsid w:val="00B648D2"/>
    <w:rsid w:val="00B77A1E"/>
    <w:rsid w:val="00B8008D"/>
    <w:rsid w:val="00B80A64"/>
    <w:rsid w:val="00B84BEA"/>
    <w:rsid w:val="00B867E2"/>
    <w:rsid w:val="00B86D91"/>
    <w:rsid w:val="00B877CD"/>
    <w:rsid w:val="00BA07F1"/>
    <w:rsid w:val="00BB0D1C"/>
    <w:rsid w:val="00BB3CDA"/>
    <w:rsid w:val="00BC6820"/>
    <w:rsid w:val="00BD304E"/>
    <w:rsid w:val="00BF1915"/>
    <w:rsid w:val="00C026DC"/>
    <w:rsid w:val="00C16FFD"/>
    <w:rsid w:val="00C17356"/>
    <w:rsid w:val="00C211D8"/>
    <w:rsid w:val="00C215D8"/>
    <w:rsid w:val="00C506F5"/>
    <w:rsid w:val="00C57043"/>
    <w:rsid w:val="00C63409"/>
    <w:rsid w:val="00C70323"/>
    <w:rsid w:val="00C73688"/>
    <w:rsid w:val="00C75F46"/>
    <w:rsid w:val="00C80202"/>
    <w:rsid w:val="00C85D15"/>
    <w:rsid w:val="00C86FCE"/>
    <w:rsid w:val="00CA433C"/>
    <w:rsid w:val="00CA7752"/>
    <w:rsid w:val="00CB22E2"/>
    <w:rsid w:val="00CC2057"/>
    <w:rsid w:val="00CC658E"/>
    <w:rsid w:val="00CD5D43"/>
    <w:rsid w:val="00CD743F"/>
    <w:rsid w:val="00CE3E15"/>
    <w:rsid w:val="00D0655D"/>
    <w:rsid w:val="00D155DD"/>
    <w:rsid w:val="00D2706A"/>
    <w:rsid w:val="00D34643"/>
    <w:rsid w:val="00D36194"/>
    <w:rsid w:val="00D634D3"/>
    <w:rsid w:val="00D66281"/>
    <w:rsid w:val="00D74EE4"/>
    <w:rsid w:val="00D807D4"/>
    <w:rsid w:val="00D91F4C"/>
    <w:rsid w:val="00D92BB9"/>
    <w:rsid w:val="00D92F59"/>
    <w:rsid w:val="00D93F6E"/>
    <w:rsid w:val="00D95E48"/>
    <w:rsid w:val="00DB4559"/>
    <w:rsid w:val="00DE0447"/>
    <w:rsid w:val="00DF5E2F"/>
    <w:rsid w:val="00E001DF"/>
    <w:rsid w:val="00E13986"/>
    <w:rsid w:val="00E14255"/>
    <w:rsid w:val="00E2053D"/>
    <w:rsid w:val="00E21A3E"/>
    <w:rsid w:val="00E262A7"/>
    <w:rsid w:val="00E3515D"/>
    <w:rsid w:val="00E41643"/>
    <w:rsid w:val="00E441FE"/>
    <w:rsid w:val="00E442E7"/>
    <w:rsid w:val="00E4561B"/>
    <w:rsid w:val="00E47327"/>
    <w:rsid w:val="00E50168"/>
    <w:rsid w:val="00E66722"/>
    <w:rsid w:val="00E67BB4"/>
    <w:rsid w:val="00E8430F"/>
    <w:rsid w:val="00E86BCF"/>
    <w:rsid w:val="00E907A3"/>
    <w:rsid w:val="00E923AF"/>
    <w:rsid w:val="00EA3269"/>
    <w:rsid w:val="00EC45C0"/>
    <w:rsid w:val="00F002A0"/>
    <w:rsid w:val="00F0265D"/>
    <w:rsid w:val="00F02DB5"/>
    <w:rsid w:val="00F114F0"/>
    <w:rsid w:val="00F2634E"/>
    <w:rsid w:val="00F4426C"/>
    <w:rsid w:val="00F4796B"/>
    <w:rsid w:val="00F62AF8"/>
    <w:rsid w:val="00F75D4C"/>
    <w:rsid w:val="00F83C9E"/>
    <w:rsid w:val="00F83E6B"/>
    <w:rsid w:val="00F952F1"/>
    <w:rsid w:val="00FB013F"/>
    <w:rsid w:val="00FC1DA0"/>
    <w:rsid w:val="00FD20A6"/>
    <w:rsid w:val="00FE2210"/>
    <w:rsid w:val="00FE42FF"/>
    <w:rsid w:val="00FE64FB"/>
    <w:rsid w:val="00FF7D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7351C"/>
    <w:pPr>
      <w:ind w:left="720"/>
      <w:contextualSpacing/>
    </w:pPr>
  </w:style>
  <w:style w:type="character" w:styleId="Hyperlinkki">
    <w:name w:val="Hyperlink"/>
    <w:basedOn w:val="Kappaleenoletusfontti"/>
    <w:uiPriority w:val="99"/>
    <w:unhideWhenUsed/>
    <w:rsid w:val="000A772B"/>
    <w:rPr>
      <w:color w:val="0000FF" w:themeColor="hyperlink"/>
      <w:u w:val="single"/>
    </w:rPr>
  </w:style>
  <w:style w:type="paragraph" w:customStyle="1" w:styleId="LLPykala">
    <w:name w:val="LLPykala"/>
    <w:next w:val="Normaali"/>
    <w:rsid w:val="00FD20A6"/>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FD20A6"/>
    <w:pPr>
      <w:spacing w:before="220" w:after="220" w:line="220" w:lineRule="exact"/>
      <w:jc w:val="center"/>
    </w:pPr>
    <w:rPr>
      <w:rFonts w:ascii="Times New Roman" w:eastAsia="Times New Roman" w:hAnsi="Times New Roman" w:cs="Times New Roman"/>
      <w:i/>
      <w:szCs w:val="24"/>
      <w:lang w:eastAsia="fi-FI"/>
    </w:rPr>
  </w:style>
  <w:style w:type="paragraph" w:customStyle="1" w:styleId="LLMomentinJohdantoKappale">
    <w:name w:val="LLMomentinJohdantoKappale"/>
    <w:rsid w:val="00FD20A6"/>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Kohta">
    <w:name w:val="LLMomentinKohta"/>
    <w:rsid w:val="00FD20A6"/>
    <w:pPr>
      <w:spacing w:after="0" w:line="220" w:lineRule="exact"/>
      <w:ind w:firstLine="170"/>
      <w:jc w:val="both"/>
    </w:pPr>
    <w:rPr>
      <w:rFonts w:ascii="Times New Roman" w:eastAsia="Times New Roman" w:hAnsi="Times New Roman" w:cs="Times New Roman"/>
      <w:szCs w:val="24"/>
      <w:lang w:eastAsia="fi-FI"/>
    </w:rPr>
  </w:style>
  <w:style w:type="character" w:styleId="AvattuHyperlinkki">
    <w:name w:val="FollowedHyperlink"/>
    <w:basedOn w:val="Kappaleenoletusfontti"/>
    <w:uiPriority w:val="99"/>
    <w:semiHidden/>
    <w:unhideWhenUsed/>
    <w:rsid w:val="009628C1"/>
    <w:rPr>
      <w:color w:val="800080" w:themeColor="followedHyperlink"/>
      <w:u w:val="single"/>
    </w:rPr>
  </w:style>
  <w:style w:type="paragraph" w:customStyle="1" w:styleId="LLNormaali">
    <w:name w:val="LLNormaali"/>
    <w:rsid w:val="004F6800"/>
    <w:pPr>
      <w:spacing w:after="0" w:line="220" w:lineRule="exact"/>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4F6800"/>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4F6800"/>
    <w:rPr>
      <w:rFonts w:ascii="Times New Roman" w:eastAsia="Times New Roman" w:hAnsi="Times New Roman" w:cs="Times New Roman"/>
      <w:szCs w:val="24"/>
      <w:lang w:eastAsia="fi-FI"/>
    </w:rPr>
  </w:style>
  <w:style w:type="paragraph" w:styleId="Yltunniste">
    <w:name w:val="header"/>
    <w:basedOn w:val="Normaali"/>
    <w:link w:val="YltunnisteChar"/>
    <w:uiPriority w:val="99"/>
    <w:unhideWhenUsed/>
    <w:rsid w:val="007E513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E5130"/>
  </w:style>
  <w:style w:type="paragraph" w:styleId="Alatunniste">
    <w:name w:val="footer"/>
    <w:basedOn w:val="Normaali"/>
    <w:link w:val="AlatunnisteChar"/>
    <w:uiPriority w:val="99"/>
    <w:unhideWhenUsed/>
    <w:rsid w:val="007E513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E5130"/>
  </w:style>
  <w:style w:type="paragraph" w:styleId="Seliteteksti">
    <w:name w:val="Balloon Text"/>
    <w:basedOn w:val="Normaali"/>
    <w:link w:val="SelitetekstiChar"/>
    <w:uiPriority w:val="99"/>
    <w:semiHidden/>
    <w:unhideWhenUsed/>
    <w:rsid w:val="0083273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32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7351C"/>
    <w:pPr>
      <w:ind w:left="720"/>
      <w:contextualSpacing/>
    </w:pPr>
  </w:style>
  <w:style w:type="character" w:styleId="Hyperlinkki">
    <w:name w:val="Hyperlink"/>
    <w:basedOn w:val="Kappaleenoletusfontti"/>
    <w:uiPriority w:val="99"/>
    <w:unhideWhenUsed/>
    <w:rsid w:val="000A772B"/>
    <w:rPr>
      <w:color w:val="0000FF" w:themeColor="hyperlink"/>
      <w:u w:val="single"/>
    </w:rPr>
  </w:style>
  <w:style w:type="paragraph" w:customStyle="1" w:styleId="LLPykala">
    <w:name w:val="LLPykala"/>
    <w:next w:val="Normaali"/>
    <w:rsid w:val="00FD20A6"/>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FD20A6"/>
    <w:pPr>
      <w:spacing w:before="220" w:after="220" w:line="220" w:lineRule="exact"/>
      <w:jc w:val="center"/>
    </w:pPr>
    <w:rPr>
      <w:rFonts w:ascii="Times New Roman" w:eastAsia="Times New Roman" w:hAnsi="Times New Roman" w:cs="Times New Roman"/>
      <w:i/>
      <w:szCs w:val="24"/>
      <w:lang w:eastAsia="fi-FI"/>
    </w:rPr>
  </w:style>
  <w:style w:type="paragraph" w:customStyle="1" w:styleId="LLMomentinJohdantoKappale">
    <w:name w:val="LLMomentinJohdantoKappale"/>
    <w:rsid w:val="00FD20A6"/>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Kohta">
    <w:name w:val="LLMomentinKohta"/>
    <w:rsid w:val="00FD20A6"/>
    <w:pPr>
      <w:spacing w:after="0" w:line="220" w:lineRule="exact"/>
      <w:ind w:firstLine="170"/>
      <w:jc w:val="both"/>
    </w:pPr>
    <w:rPr>
      <w:rFonts w:ascii="Times New Roman" w:eastAsia="Times New Roman" w:hAnsi="Times New Roman" w:cs="Times New Roman"/>
      <w:szCs w:val="24"/>
      <w:lang w:eastAsia="fi-FI"/>
    </w:rPr>
  </w:style>
  <w:style w:type="character" w:styleId="AvattuHyperlinkki">
    <w:name w:val="FollowedHyperlink"/>
    <w:basedOn w:val="Kappaleenoletusfontti"/>
    <w:uiPriority w:val="99"/>
    <w:semiHidden/>
    <w:unhideWhenUsed/>
    <w:rsid w:val="009628C1"/>
    <w:rPr>
      <w:color w:val="800080" w:themeColor="followedHyperlink"/>
      <w:u w:val="single"/>
    </w:rPr>
  </w:style>
  <w:style w:type="paragraph" w:customStyle="1" w:styleId="LLNormaali">
    <w:name w:val="LLNormaali"/>
    <w:rsid w:val="004F6800"/>
    <w:pPr>
      <w:spacing w:after="0" w:line="220" w:lineRule="exact"/>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4F6800"/>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4F6800"/>
    <w:rPr>
      <w:rFonts w:ascii="Times New Roman" w:eastAsia="Times New Roman" w:hAnsi="Times New Roman" w:cs="Times New Roman"/>
      <w:szCs w:val="24"/>
      <w:lang w:eastAsia="fi-FI"/>
    </w:rPr>
  </w:style>
  <w:style w:type="paragraph" w:styleId="Yltunniste">
    <w:name w:val="header"/>
    <w:basedOn w:val="Normaali"/>
    <w:link w:val="YltunnisteChar"/>
    <w:uiPriority w:val="99"/>
    <w:unhideWhenUsed/>
    <w:rsid w:val="007E513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E5130"/>
  </w:style>
  <w:style w:type="paragraph" w:styleId="Alatunniste">
    <w:name w:val="footer"/>
    <w:basedOn w:val="Normaali"/>
    <w:link w:val="AlatunnisteChar"/>
    <w:uiPriority w:val="99"/>
    <w:unhideWhenUsed/>
    <w:rsid w:val="007E513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E5130"/>
  </w:style>
  <w:style w:type="paragraph" w:styleId="Seliteteksti">
    <w:name w:val="Balloon Text"/>
    <w:basedOn w:val="Normaali"/>
    <w:link w:val="SelitetekstiChar"/>
    <w:uiPriority w:val="99"/>
    <w:semiHidden/>
    <w:unhideWhenUsed/>
    <w:rsid w:val="0083273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32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30772">
      <w:bodyDiv w:val="1"/>
      <w:marLeft w:val="0"/>
      <w:marRight w:val="0"/>
      <w:marTop w:val="0"/>
      <w:marBottom w:val="0"/>
      <w:divBdr>
        <w:top w:val="none" w:sz="0" w:space="0" w:color="auto"/>
        <w:left w:val="none" w:sz="0" w:space="0" w:color="auto"/>
        <w:bottom w:val="none" w:sz="0" w:space="0" w:color="auto"/>
        <w:right w:val="none" w:sz="0" w:space="0" w:color="auto"/>
      </w:divBdr>
    </w:div>
    <w:div w:id="747456255">
      <w:bodyDiv w:val="1"/>
      <w:marLeft w:val="0"/>
      <w:marRight w:val="0"/>
      <w:marTop w:val="0"/>
      <w:marBottom w:val="0"/>
      <w:divBdr>
        <w:top w:val="none" w:sz="0" w:space="0" w:color="auto"/>
        <w:left w:val="none" w:sz="0" w:space="0" w:color="auto"/>
        <w:bottom w:val="none" w:sz="0" w:space="0" w:color="auto"/>
        <w:right w:val="none" w:sz="0" w:space="0" w:color="auto"/>
      </w:divBdr>
    </w:div>
    <w:div w:id="1200506108">
      <w:bodyDiv w:val="1"/>
      <w:marLeft w:val="0"/>
      <w:marRight w:val="0"/>
      <w:marTop w:val="0"/>
      <w:marBottom w:val="0"/>
      <w:divBdr>
        <w:top w:val="none" w:sz="0" w:space="0" w:color="auto"/>
        <w:left w:val="none" w:sz="0" w:space="0" w:color="auto"/>
        <w:bottom w:val="none" w:sz="0" w:space="0" w:color="auto"/>
        <w:right w:val="none" w:sz="0" w:space="0" w:color="auto"/>
      </w:divBdr>
    </w:div>
    <w:div w:id="1422066537">
      <w:bodyDiv w:val="1"/>
      <w:marLeft w:val="0"/>
      <w:marRight w:val="0"/>
      <w:marTop w:val="0"/>
      <w:marBottom w:val="0"/>
      <w:divBdr>
        <w:top w:val="none" w:sz="0" w:space="0" w:color="auto"/>
        <w:left w:val="none" w:sz="0" w:space="0" w:color="auto"/>
        <w:bottom w:val="none" w:sz="0" w:space="0" w:color="auto"/>
        <w:right w:val="none" w:sz="0" w:space="0" w:color="auto"/>
      </w:divBdr>
      <w:divsChild>
        <w:div w:id="686444141">
          <w:marLeft w:val="0"/>
          <w:marRight w:val="0"/>
          <w:marTop w:val="0"/>
          <w:marBottom w:val="0"/>
          <w:divBdr>
            <w:top w:val="none" w:sz="0" w:space="0" w:color="auto"/>
            <w:left w:val="none" w:sz="0" w:space="0" w:color="auto"/>
            <w:bottom w:val="none" w:sz="0" w:space="0" w:color="auto"/>
            <w:right w:val="none" w:sz="0" w:space="0" w:color="auto"/>
          </w:divBdr>
          <w:divsChild>
            <w:div w:id="203762432">
              <w:marLeft w:val="0"/>
              <w:marRight w:val="0"/>
              <w:marTop w:val="0"/>
              <w:marBottom w:val="0"/>
              <w:divBdr>
                <w:top w:val="none" w:sz="0" w:space="0" w:color="auto"/>
                <w:left w:val="none" w:sz="0" w:space="0" w:color="auto"/>
                <w:bottom w:val="none" w:sz="0" w:space="0" w:color="auto"/>
                <w:right w:val="none" w:sz="0" w:space="0" w:color="auto"/>
              </w:divBdr>
              <w:divsChild>
                <w:div w:id="859585637">
                  <w:marLeft w:val="0"/>
                  <w:marRight w:val="0"/>
                  <w:marTop w:val="0"/>
                  <w:marBottom w:val="0"/>
                  <w:divBdr>
                    <w:top w:val="none" w:sz="0" w:space="0" w:color="auto"/>
                    <w:left w:val="none" w:sz="0" w:space="0" w:color="auto"/>
                    <w:bottom w:val="none" w:sz="0" w:space="0" w:color="auto"/>
                    <w:right w:val="none" w:sz="0" w:space="0" w:color="auto"/>
                  </w:divBdr>
                  <w:divsChild>
                    <w:div w:id="3265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421651">
      <w:bodyDiv w:val="1"/>
      <w:marLeft w:val="0"/>
      <w:marRight w:val="0"/>
      <w:marTop w:val="0"/>
      <w:marBottom w:val="0"/>
      <w:divBdr>
        <w:top w:val="none" w:sz="0" w:space="0" w:color="auto"/>
        <w:left w:val="none" w:sz="0" w:space="0" w:color="auto"/>
        <w:bottom w:val="none" w:sz="0" w:space="0" w:color="auto"/>
        <w:right w:val="none" w:sz="0" w:space="0" w:color="auto"/>
      </w:divBdr>
    </w:div>
    <w:div w:id="17516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B9763-B897-4E3B-8E62-247C8333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1821</Words>
  <Characters>14753</Characters>
  <Application>Microsoft Office Word</Application>
  <DocSecurity>4</DocSecurity>
  <Lines>122</Lines>
  <Paragraphs>33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kallioju</dc:creator>
  <cp:lastModifiedBy>virolara</cp:lastModifiedBy>
  <cp:revision>2</cp:revision>
  <cp:lastPrinted>2016-12-28T08:59:00Z</cp:lastPrinted>
  <dcterms:created xsi:type="dcterms:W3CDTF">2016-12-28T10:21:00Z</dcterms:created>
  <dcterms:modified xsi:type="dcterms:W3CDTF">2016-12-28T10:21:00Z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611119488</vt:i4>
  </property>
  <property fmtid="{D5CDD505-2E9C-101B-9397-08002B2CF9AE}" pid="3" name="_NewReviewCycle">
    <vt:lpwstr/>
  </property>
  <property fmtid="{D5CDD505-2E9C-101B-9397-08002B2CF9AE}" pid="4" name="_EmailSubject">
    <vt:lpwstr>Yritysvanamuutos lausunnolle - aineistot ohessa</vt:lpwstr>
  </property>
  <property fmtid="{D5CDD505-2E9C-101B-9397-08002B2CF9AE}" pid="5" name="_AuthorEmail">
    <vt:lpwstr>Juuso.Kalliokoski@mmm.fi</vt:lpwstr>
  </property>
  <property fmtid="{D5CDD505-2E9C-101B-9397-08002B2CF9AE}" pid="6" name="_AuthorEmailDisplayName">
    <vt:lpwstr>Kalliokoski Juuso</vt:lpwstr>
  </property>
  <property fmtid="{D5CDD505-2E9C-101B-9397-08002B2CF9AE}" pid="7" name="_ReviewingToolsShownOnce">
    <vt:lpwstr/>
  </property>
</Properties>
</file>