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AA" w:rsidRDefault="005024AA" w:rsidP="005024AA">
      <w:pPr>
        <w:pStyle w:val="SingleTxtG"/>
      </w:pPr>
      <w:bookmarkStart w:id="0" w:name="_GoBack"/>
      <w:bookmarkEnd w:id="0"/>
      <w:r w:rsidRPr="005024AA">
        <w:rPr>
          <w:lang w:val="en-US"/>
        </w:rPr>
        <w:t>Working Party on the Transport of Perishable Foodstuffs</w:t>
      </w:r>
      <w:r w:rsidRPr="005024AA">
        <w:rPr>
          <w:lang w:val="en-US"/>
        </w:rPr>
        <w:t xml:space="preserve"> 77th session</w:t>
      </w:r>
      <w:r>
        <w:rPr>
          <w:lang w:val="en-US"/>
        </w:rPr>
        <w:t xml:space="preserve"> </w:t>
      </w:r>
      <w:r>
        <w:t>26-29 October 2021</w:t>
      </w:r>
    </w:p>
    <w:p w:rsidR="005024AA" w:rsidRDefault="005024AA" w:rsidP="005024AA">
      <w:pPr>
        <w:pStyle w:val="SingleTxtG"/>
      </w:pPr>
    </w:p>
    <w:p w:rsidR="005024AA" w:rsidRDefault="005024AA" w:rsidP="005024AA">
      <w:pPr>
        <w:pStyle w:val="HChG"/>
        <w:ind w:left="0" w:firstLine="0"/>
      </w:pPr>
      <w:r>
        <w:t>Annex</w:t>
      </w:r>
    </w:p>
    <w:p w:rsidR="005024AA" w:rsidRPr="005024AA" w:rsidRDefault="005024AA" w:rsidP="005024AA">
      <w:pPr>
        <w:jc w:val="right"/>
        <w:rPr>
          <w:lang w:val="en-US"/>
        </w:rPr>
      </w:pPr>
      <w:r w:rsidRPr="005024AA">
        <w:rPr>
          <w:lang w:val="en-US"/>
        </w:rPr>
        <w:t>[Original: English and French]</w:t>
      </w:r>
    </w:p>
    <w:p w:rsidR="005024AA" w:rsidRPr="007646B7" w:rsidRDefault="005024AA" w:rsidP="005024AA">
      <w:pPr>
        <w:pStyle w:val="HChG"/>
      </w:pPr>
      <w:r>
        <w:tab/>
      </w:r>
      <w:r>
        <w:tab/>
      </w:r>
      <w:r w:rsidRPr="007646B7">
        <w:t>Proposed amendments to the ATP</w:t>
      </w:r>
    </w:p>
    <w:p w:rsidR="005024AA"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1</w:t>
      </w:r>
      <w:r w:rsidRPr="00D56B2E">
        <w:rPr>
          <w:spacing w:val="4"/>
          <w:w w:val="103"/>
          <w:kern w:val="14"/>
          <w:lang w:eastAsia="zh-CN"/>
        </w:rPr>
        <w:t>.</w:t>
      </w:r>
      <w:r w:rsidRPr="00D56B2E">
        <w:rPr>
          <w:spacing w:val="4"/>
          <w:w w:val="103"/>
          <w:kern w:val="14"/>
          <w:lang w:eastAsia="zh-CN"/>
        </w:rPr>
        <w:tab/>
      </w:r>
      <w:r w:rsidRPr="006B7466">
        <w:rPr>
          <w:spacing w:val="4"/>
          <w:w w:val="103"/>
          <w:kern w:val="14"/>
          <w:lang w:eastAsia="zh-CN"/>
        </w:rPr>
        <w:t xml:space="preserve">Annex 1, </w:t>
      </w:r>
      <w:r>
        <w:rPr>
          <w:spacing w:val="4"/>
          <w:w w:val="103"/>
          <w:kern w:val="14"/>
          <w:lang w:eastAsia="zh-CN"/>
        </w:rPr>
        <w:t>A</w:t>
      </w:r>
      <w:r w:rsidRPr="006B7466">
        <w:rPr>
          <w:spacing w:val="4"/>
          <w:w w:val="103"/>
          <w:kern w:val="14"/>
          <w:lang w:eastAsia="zh-CN"/>
        </w:rPr>
        <w:t>ppendix 2, section 1.2</w:t>
      </w:r>
    </w:p>
    <w:p w:rsidR="005024AA" w:rsidRDefault="005024AA" w:rsidP="005024AA">
      <w:pPr>
        <w:pStyle w:val="SingleTxtG"/>
        <w:rPr>
          <w:lang w:val="en-US"/>
        </w:rPr>
      </w:pPr>
      <w:r>
        <w:rPr>
          <w:lang w:val="en-US"/>
        </w:rPr>
        <w:t>Amend the third paragraph to read:</w:t>
      </w:r>
    </w:p>
    <w:p w:rsidR="005024AA" w:rsidRDefault="005024AA" w:rsidP="005024AA">
      <w:pPr>
        <w:pStyle w:val="SingleTxtG"/>
        <w:rPr>
          <w:u w:val="single"/>
          <w:lang w:val="en-US"/>
        </w:rPr>
      </w:pPr>
      <w:r>
        <w:rPr>
          <w:lang w:val="en-US"/>
        </w:rPr>
        <w:t>"</w:t>
      </w:r>
      <w:r w:rsidRPr="001F639D">
        <w:rPr>
          <w:lang w:val="en-US"/>
        </w:rPr>
        <w:t xml:space="preserve">For calculating the mean surface area of the body of a panel van, the test station appointed by the competent authority shall select from one of the following three methods </w:t>
      </w:r>
      <w:r w:rsidRPr="004F2CF1">
        <w:rPr>
          <w:lang w:val="en-US"/>
        </w:rPr>
        <w:t>A-C. For calculating the mean surface area of the body of a tank, the test station appointed by the competent authority may use method A or D.</w:t>
      </w:r>
      <w:r>
        <w:rPr>
          <w:lang w:val="en-US"/>
        </w:rPr>
        <w:t>"</w:t>
      </w:r>
    </w:p>
    <w:p w:rsidR="005024AA" w:rsidRPr="00791C25" w:rsidRDefault="005024AA" w:rsidP="005024AA">
      <w:pPr>
        <w:pStyle w:val="SingleTxtG"/>
        <w:rPr>
          <w:i/>
        </w:rPr>
      </w:pPr>
      <w:r w:rsidRPr="0018140C">
        <w:rPr>
          <w:i/>
        </w:rPr>
        <w:t>(Reference document: ECE/TRANS/WP.11/2021/</w:t>
      </w:r>
      <w:r>
        <w:rPr>
          <w:i/>
        </w:rPr>
        <w:t>4, as amended</w:t>
      </w:r>
      <w:r w:rsidRPr="0018140C">
        <w:rPr>
          <w:i/>
        </w:rPr>
        <w:t>)</w:t>
      </w:r>
    </w:p>
    <w:p w:rsidR="005024AA" w:rsidRPr="00D40020"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2</w:t>
      </w:r>
      <w:r w:rsidRPr="00D40020">
        <w:rPr>
          <w:spacing w:val="4"/>
          <w:w w:val="103"/>
          <w:kern w:val="14"/>
          <w:lang w:eastAsia="zh-CN"/>
        </w:rPr>
        <w:t>.</w:t>
      </w:r>
      <w:r w:rsidRPr="00D40020">
        <w:rPr>
          <w:spacing w:val="4"/>
          <w:w w:val="103"/>
          <w:kern w:val="14"/>
          <w:lang w:eastAsia="zh-CN"/>
        </w:rPr>
        <w:tab/>
        <w:t>Annex 1, Appendix 2, section 1.2</w:t>
      </w:r>
    </w:p>
    <w:p w:rsidR="005024AA" w:rsidRPr="00FE0AF5" w:rsidRDefault="005024AA" w:rsidP="005024AA">
      <w:pPr>
        <w:pStyle w:val="SingleTxtG"/>
      </w:pPr>
      <w:r w:rsidRPr="00FE0AF5">
        <w:t>Amend the l</w:t>
      </w:r>
      <w:r>
        <w:t>ast three paragraphs (Method C) to read:</w:t>
      </w:r>
    </w:p>
    <w:p w:rsidR="005024AA" w:rsidRPr="001F639D" w:rsidRDefault="005024AA" w:rsidP="005024AA">
      <w:pPr>
        <w:pStyle w:val="SingleTxtG"/>
        <w:rPr>
          <w:lang w:val="en-US"/>
        </w:rPr>
      </w:pPr>
      <w:r>
        <w:rPr>
          <w:lang w:val="en-US"/>
        </w:rPr>
        <w:t>"</w:t>
      </w:r>
      <w:r w:rsidRPr="001F639D">
        <w:rPr>
          <w:lang w:val="en-US"/>
        </w:rPr>
        <w:t xml:space="preserve">Method C. If </w:t>
      </w:r>
      <w:r w:rsidRPr="00D92F39">
        <w:rPr>
          <w:lang w:val="en-US"/>
        </w:rPr>
        <w:t>methods A or B are not acceptable to the experts, the internal surface of the panel van</w:t>
      </w:r>
      <w:r w:rsidRPr="001F639D">
        <w:rPr>
          <w:lang w:val="en-US"/>
        </w:rPr>
        <w:t xml:space="preserve"> shall be measured according to the figures and formulae in method B.</w:t>
      </w:r>
    </w:p>
    <w:p w:rsidR="005024AA" w:rsidRPr="001F639D" w:rsidRDefault="005024AA" w:rsidP="005024AA">
      <w:pPr>
        <w:pStyle w:val="SingleTxtG"/>
        <w:rPr>
          <w:lang w:val="en-US"/>
        </w:rPr>
      </w:pPr>
      <w:r w:rsidRPr="00D92F39">
        <w:rPr>
          <w:lang w:val="en-US"/>
        </w:rPr>
        <w:t>The initial K value shall then be calculated based on the internal surface area, taking the insulation thickness as nil to start the iteration process</w:t>
      </w:r>
      <w:r w:rsidRPr="001F639D">
        <w:rPr>
          <w:lang w:val="en-US"/>
        </w:rPr>
        <w:t>. From this K value, the average insulation thickness is calculated from the assumption that λ for the insulation has a value of 0,025 W/m·ºC</w:t>
      </w:r>
    </w:p>
    <w:p w:rsidR="005024AA" w:rsidRPr="001F639D" w:rsidRDefault="005024AA" w:rsidP="005024AA">
      <w:pPr>
        <w:pStyle w:val="SingleTxtG"/>
        <w:rPr>
          <w:lang w:val="en-US"/>
        </w:rPr>
      </w:pPr>
      <m:oMathPara>
        <m:oMath>
          <m:r>
            <w:rPr>
              <w:rFonts w:ascii="Cambria Math" w:hAnsi="Cambria Math"/>
              <w:lang w:val="en-US"/>
            </w:rPr>
            <m:t>d=</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 xml:space="preserve"> x ∆T x λ /W</m:t>
          </m:r>
        </m:oMath>
      </m:oMathPara>
    </w:p>
    <w:p w:rsidR="005024AA" w:rsidRPr="001F639D" w:rsidRDefault="005024AA" w:rsidP="005024AA">
      <w:pPr>
        <w:pStyle w:val="SingleTxtG"/>
        <w:rPr>
          <w:lang w:val="en-US"/>
        </w:rPr>
      </w:pPr>
      <w:r w:rsidRPr="001F639D">
        <w:rPr>
          <w:lang w:val="en-US"/>
        </w:rPr>
        <w:t>Once the thickness of the insulation has been estimated, the external surface area is calculated and the mean surface area is determined. The final K value is derived from successive iteration</w:t>
      </w:r>
      <w:r w:rsidRPr="00D92F39">
        <w:rPr>
          <w:lang w:val="en-US"/>
        </w:rPr>
        <w:t>s</w:t>
      </w:r>
      <w:r w:rsidRPr="001F639D">
        <w:rPr>
          <w:lang w:val="en-US"/>
        </w:rPr>
        <w:t>.</w:t>
      </w:r>
      <w:r>
        <w:rPr>
          <w:lang w:val="en-US"/>
        </w:rPr>
        <w:t>"</w:t>
      </w:r>
    </w:p>
    <w:p w:rsidR="005024AA" w:rsidRDefault="005024AA" w:rsidP="005024AA">
      <w:pPr>
        <w:pStyle w:val="SingleTxtG"/>
        <w:rPr>
          <w:i/>
        </w:rPr>
      </w:pPr>
      <w:r w:rsidRPr="0018140C">
        <w:rPr>
          <w:i/>
        </w:rPr>
        <w:t>(Reference document: ECE/TRANS/WP.11/2021/</w:t>
      </w:r>
      <w:r>
        <w:rPr>
          <w:i/>
        </w:rPr>
        <w:t>4)</w:t>
      </w:r>
    </w:p>
    <w:p w:rsidR="005024AA"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3</w:t>
      </w:r>
      <w:r w:rsidRPr="006B7466">
        <w:rPr>
          <w:spacing w:val="4"/>
          <w:w w:val="103"/>
          <w:kern w:val="14"/>
          <w:lang w:eastAsia="zh-CN"/>
        </w:rPr>
        <w:t>.</w:t>
      </w:r>
      <w:r w:rsidRPr="006B7466">
        <w:rPr>
          <w:spacing w:val="4"/>
          <w:w w:val="103"/>
          <w:kern w:val="14"/>
          <w:lang w:eastAsia="zh-CN"/>
        </w:rPr>
        <w:tab/>
        <w:t xml:space="preserve">Annex 1, </w:t>
      </w:r>
      <w:r>
        <w:rPr>
          <w:spacing w:val="4"/>
          <w:w w:val="103"/>
          <w:kern w:val="14"/>
          <w:lang w:eastAsia="zh-CN"/>
        </w:rPr>
        <w:t>A</w:t>
      </w:r>
      <w:r w:rsidRPr="006B7466">
        <w:rPr>
          <w:spacing w:val="4"/>
          <w:w w:val="103"/>
          <w:kern w:val="14"/>
          <w:lang w:eastAsia="zh-CN"/>
        </w:rPr>
        <w:t>ppendix 2, section 1.2</w:t>
      </w:r>
      <w:r>
        <w:rPr>
          <w:spacing w:val="4"/>
          <w:w w:val="103"/>
          <w:kern w:val="14"/>
          <w:lang w:eastAsia="zh-CN"/>
        </w:rPr>
        <w:t>,</w:t>
      </w:r>
      <w:r w:rsidRPr="0018140C">
        <w:rPr>
          <w:spacing w:val="4"/>
          <w:w w:val="103"/>
          <w:kern w:val="14"/>
          <w:lang w:eastAsia="zh-CN"/>
        </w:rPr>
        <w:t xml:space="preserve"> </w:t>
      </w:r>
      <w:r>
        <w:rPr>
          <w:spacing w:val="4"/>
          <w:w w:val="103"/>
          <w:kern w:val="14"/>
          <w:lang w:eastAsia="zh-CN"/>
        </w:rPr>
        <w:t>Method C</w:t>
      </w:r>
    </w:p>
    <w:p w:rsidR="005024AA" w:rsidRDefault="005024AA" w:rsidP="005024AA">
      <w:pPr>
        <w:pStyle w:val="SingleTxtG"/>
        <w:rPr>
          <w:iCs/>
        </w:rPr>
      </w:pPr>
      <w:r>
        <w:rPr>
          <w:iCs/>
        </w:rPr>
        <w:t xml:space="preserve">Add new last paragraph to read as follows: </w:t>
      </w:r>
    </w:p>
    <w:p w:rsidR="005024AA" w:rsidRPr="00A11E25" w:rsidRDefault="005024AA" w:rsidP="005024AA">
      <w:pPr>
        <w:pStyle w:val="SingleTxtG"/>
        <w:rPr>
          <w:iCs/>
        </w:rPr>
      </w:pPr>
      <w:r>
        <w:rPr>
          <w:iCs/>
        </w:rPr>
        <w:t>"</w:t>
      </w:r>
      <w:r w:rsidRPr="00E14043">
        <w:rPr>
          <w:iCs/>
        </w:rPr>
        <w:t xml:space="preserve">A different value of λ </w:t>
      </w:r>
      <w:r>
        <w:rPr>
          <w:iCs/>
        </w:rPr>
        <w:t>may</w:t>
      </w:r>
      <w:r w:rsidRPr="00E14043">
        <w:rPr>
          <w:iCs/>
        </w:rPr>
        <w:t xml:space="preserve"> be used in this method if the actual value of λ can be estimated by physical measurements of the properties of the main thermal insulator of the wall, or by statistical data of other ATP units of similar features</w:t>
      </w:r>
      <w:r>
        <w:rPr>
          <w:iCs/>
        </w:rPr>
        <w:t>. T</w:t>
      </w:r>
      <w:r>
        <w:t xml:space="preserve">he value of </w:t>
      </w:r>
      <w:r w:rsidRPr="00E14043">
        <w:rPr>
          <w:iCs/>
        </w:rPr>
        <w:t>λ</w:t>
      </w:r>
      <w:r>
        <w:t xml:space="preserve"> and the statistical data used, if applicable, shall be indicated in or annexed to the test report Model No. 1 A</w:t>
      </w:r>
      <w:r w:rsidRPr="00E14043">
        <w:rPr>
          <w:iCs/>
        </w:rPr>
        <w:t>.</w:t>
      </w:r>
      <w:r>
        <w:rPr>
          <w:iCs/>
        </w:rPr>
        <w:t>"</w:t>
      </w:r>
    </w:p>
    <w:p w:rsidR="005024AA" w:rsidRPr="0018140C" w:rsidRDefault="005024AA" w:rsidP="005024AA">
      <w:pPr>
        <w:pStyle w:val="SingleTxtG"/>
        <w:rPr>
          <w:i/>
        </w:rPr>
      </w:pPr>
      <w:r w:rsidRPr="0018140C">
        <w:rPr>
          <w:i/>
        </w:rPr>
        <w:t>(Reference document: ECE/TRANS/WP.11/2021/3</w:t>
      </w:r>
      <w:r>
        <w:rPr>
          <w:i/>
        </w:rPr>
        <w:t>, as amended</w:t>
      </w:r>
      <w:r w:rsidRPr="0018140C">
        <w:rPr>
          <w:i/>
        </w:rPr>
        <w:t>)</w:t>
      </w:r>
    </w:p>
    <w:p w:rsidR="005024AA" w:rsidRPr="00A572D9"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4</w:t>
      </w:r>
      <w:r w:rsidRPr="00A572D9">
        <w:rPr>
          <w:spacing w:val="4"/>
          <w:w w:val="103"/>
          <w:kern w:val="14"/>
          <w:lang w:eastAsia="zh-CN"/>
        </w:rPr>
        <w:t>.</w:t>
      </w:r>
      <w:r w:rsidRPr="00A572D9">
        <w:rPr>
          <w:spacing w:val="4"/>
          <w:w w:val="103"/>
          <w:kern w:val="14"/>
          <w:lang w:eastAsia="zh-CN"/>
        </w:rPr>
        <w:tab/>
        <w:t>Annex 1, Appendix 2, section 1.2</w:t>
      </w:r>
    </w:p>
    <w:p w:rsidR="005024AA" w:rsidRDefault="005024AA" w:rsidP="005024AA">
      <w:pPr>
        <w:pStyle w:val="SingleTxtG"/>
        <w:rPr>
          <w:lang w:val="en-US"/>
        </w:rPr>
      </w:pPr>
      <w:r>
        <w:rPr>
          <w:lang w:val="en-US"/>
        </w:rPr>
        <w:t>After the last paragraph, add the following text:</w:t>
      </w:r>
    </w:p>
    <w:p w:rsidR="005024AA" w:rsidRPr="00A572D9" w:rsidRDefault="005024AA" w:rsidP="005024AA">
      <w:pPr>
        <w:pStyle w:val="SingleTxtG"/>
        <w:rPr>
          <w:lang w:val="en-US"/>
        </w:rPr>
      </w:pPr>
      <w:r>
        <w:rPr>
          <w:lang w:val="en-US"/>
        </w:rPr>
        <w:t>"</w:t>
      </w:r>
      <w:r w:rsidRPr="00A572D9">
        <w:rPr>
          <w:lang w:val="en-US"/>
        </w:rPr>
        <w:t xml:space="preserve">Method D. If method A is not acceptable to the experts, the external surface of the tank shall be measured, taking into account the geometrical shape of the tank and the main values needed to model this shape (e.g. diameter, radius, length of cylinder, etc.). This method can only be used if the tank can be assimilated to regular geometrical forms (cylinder, cone, </w:t>
      </w:r>
      <w:proofErr w:type="gramStart"/>
      <w:r w:rsidRPr="00A572D9">
        <w:rPr>
          <w:lang w:val="en-US"/>
        </w:rPr>
        <w:t>sphere</w:t>
      </w:r>
      <w:proofErr w:type="gramEnd"/>
      <w:r w:rsidRPr="00A572D9">
        <w:rPr>
          <w:lang w:val="en-US"/>
        </w:rPr>
        <w:t>) that can be described by mathematical equations.</w:t>
      </w:r>
    </w:p>
    <w:p w:rsidR="005024AA" w:rsidRPr="00A572D9" w:rsidRDefault="005024AA" w:rsidP="005024AA">
      <w:pPr>
        <w:pStyle w:val="SingleTxtG"/>
        <w:rPr>
          <w:lang w:val="en-US"/>
        </w:rPr>
      </w:pPr>
      <w:r w:rsidRPr="00A572D9">
        <w:rPr>
          <w:lang w:val="en-US"/>
        </w:rPr>
        <w:t xml:space="preserve">The initial K value shall then be calculated based on the external surface area, taking the insulation thickness as nil to start the iteration process. From this K value, the average </w:t>
      </w:r>
      <w:r w:rsidRPr="00A572D9">
        <w:rPr>
          <w:lang w:val="en-US"/>
        </w:rPr>
        <w:lastRenderedPageBreak/>
        <w:t>insulation thickness is calculated from the assumption that λ for the insulation has a value of 0,035 W/m</w:t>
      </w:r>
      <w:r>
        <w:rPr>
          <w:lang w:val="en-US"/>
        </w:rPr>
        <w:t> </w:t>
      </w:r>
      <w:r w:rsidRPr="00A572D9">
        <w:rPr>
          <w:lang w:val="en-US"/>
        </w:rPr>
        <w:t>ºC</w:t>
      </w:r>
    </w:p>
    <w:p w:rsidR="005024AA" w:rsidRPr="00A572D9" w:rsidRDefault="005024AA" w:rsidP="005024AA">
      <w:pPr>
        <w:pStyle w:val="SingleTxtG"/>
        <w:rPr>
          <w:lang w:val="en-US"/>
        </w:rPr>
      </w:pPr>
      <m:oMathPara>
        <m:oMath>
          <m:r>
            <w:rPr>
              <w:rFonts w:ascii="Cambria Math" w:hAnsi="Cambria Math"/>
              <w:lang w:val="en-US"/>
            </w:rPr>
            <m:t>d=</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e</m:t>
              </m:r>
            </m:sub>
          </m:sSub>
          <m:r>
            <w:rPr>
              <w:rFonts w:ascii="Cambria Math" w:hAnsi="Cambria Math"/>
              <w:lang w:val="en-US"/>
            </w:rPr>
            <m:t xml:space="preserve"> x ∆T x λ /W</m:t>
          </m:r>
        </m:oMath>
      </m:oMathPara>
    </w:p>
    <w:p w:rsidR="005024AA" w:rsidRPr="00A572D9" w:rsidRDefault="005024AA" w:rsidP="005024AA">
      <w:pPr>
        <w:pStyle w:val="SingleTxtG"/>
        <w:rPr>
          <w:lang w:val="en-US"/>
        </w:rPr>
      </w:pPr>
      <w:r w:rsidRPr="00A572D9">
        <w:rPr>
          <w:lang w:val="en-US"/>
        </w:rPr>
        <w:t>Once the thickness of the insulation has been estimated, the internal surface area is calculated taking into consideration the geometrical shape of the tank, and the mean surface area is determined. The final K value is derived from successive iterations.</w:t>
      </w:r>
    </w:p>
    <w:p w:rsidR="005024AA" w:rsidRPr="00A9679D" w:rsidRDefault="005024AA" w:rsidP="005024AA">
      <w:pPr>
        <w:pStyle w:val="SingleTxtG"/>
        <w:rPr>
          <w:u w:val="single"/>
          <w:lang w:val="en-US"/>
        </w:rPr>
      </w:pPr>
      <w:r w:rsidRPr="00A572D9">
        <w:rPr>
          <w:bCs/>
          <w:lang w:val="en-US"/>
        </w:rPr>
        <w:t xml:space="preserve">A different value of λ </w:t>
      </w:r>
      <w:r>
        <w:rPr>
          <w:bCs/>
          <w:lang w:val="en-US"/>
        </w:rPr>
        <w:t>may</w:t>
      </w:r>
      <w:r w:rsidRPr="00A572D9">
        <w:rPr>
          <w:bCs/>
          <w:lang w:val="en-US"/>
        </w:rPr>
        <w:t xml:space="preserve"> be used in this method if the actual value of λ can be estimated by physical measurements of the properties of the main thermal insulator of the wall, or by statistical data of other ATP units of similar features. </w:t>
      </w:r>
      <w:r w:rsidRPr="00057CAC">
        <w:rPr>
          <w:iCs/>
        </w:rPr>
        <w:t>T</w:t>
      </w:r>
      <w:r w:rsidRPr="00057CAC">
        <w:t xml:space="preserve">he value of </w:t>
      </w:r>
      <w:r w:rsidRPr="00057CAC">
        <w:rPr>
          <w:iCs/>
        </w:rPr>
        <w:t>λ</w:t>
      </w:r>
      <w:r w:rsidRPr="00057CAC">
        <w:t xml:space="preserve"> and the statistical data used, if applicable, shall be indicated in or annexed to the test report Model No. 1 B</w:t>
      </w:r>
      <w:r w:rsidRPr="00057CAC">
        <w:rPr>
          <w:iCs/>
        </w:rPr>
        <w:t>.</w:t>
      </w:r>
      <w:r>
        <w:rPr>
          <w:iCs/>
        </w:rPr>
        <w:t>"</w:t>
      </w:r>
    </w:p>
    <w:p w:rsidR="005024AA" w:rsidRPr="00791C25" w:rsidRDefault="005024AA" w:rsidP="005024AA">
      <w:pPr>
        <w:pStyle w:val="SingleTxtG"/>
        <w:rPr>
          <w:i/>
        </w:rPr>
      </w:pPr>
      <w:r w:rsidRPr="0018140C">
        <w:rPr>
          <w:i/>
        </w:rPr>
        <w:t>(Reference document: ECE/TRANS/WP.11/2021/</w:t>
      </w:r>
      <w:r>
        <w:rPr>
          <w:i/>
        </w:rPr>
        <w:t>4, as amended</w:t>
      </w:r>
      <w:r w:rsidRPr="0018140C">
        <w:rPr>
          <w:i/>
        </w:rPr>
        <w:t>)</w:t>
      </w:r>
    </w:p>
    <w:p w:rsidR="005024AA" w:rsidRPr="00DC1BB2" w:rsidRDefault="005024AA" w:rsidP="005024AA">
      <w:pPr>
        <w:pStyle w:val="H23G"/>
        <w:rPr>
          <w:b w:val="0"/>
          <w:bCs/>
          <w:highlight w:val="yellow"/>
        </w:rPr>
      </w:pPr>
      <w:r w:rsidRPr="007646B7">
        <w:rPr>
          <w:spacing w:val="4"/>
          <w:w w:val="103"/>
          <w:kern w:val="14"/>
          <w:lang w:eastAsia="zh-CN"/>
        </w:rPr>
        <w:tab/>
      </w:r>
      <w:r w:rsidRPr="007646B7">
        <w:rPr>
          <w:spacing w:val="4"/>
          <w:w w:val="103"/>
          <w:kern w:val="14"/>
          <w:lang w:eastAsia="zh-CN"/>
        </w:rPr>
        <w:tab/>
      </w:r>
      <w:r w:rsidRPr="007646B7">
        <w:rPr>
          <w:spacing w:val="4"/>
          <w:w w:val="103"/>
          <w:kern w:val="14"/>
          <w:lang w:eastAsia="zh-CN"/>
        </w:rPr>
        <w:tab/>
      </w:r>
      <w:r>
        <w:rPr>
          <w:spacing w:val="4"/>
          <w:w w:val="103"/>
          <w:kern w:val="14"/>
          <w:lang w:eastAsia="zh-CN"/>
        </w:rPr>
        <w:t>5</w:t>
      </w:r>
      <w:r w:rsidRPr="00F37C36">
        <w:rPr>
          <w:spacing w:val="4"/>
          <w:w w:val="103"/>
          <w:kern w:val="14"/>
          <w:lang w:eastAsia="zh-CN"/>
        </w:rPr>
        <w:t>.</w:t>
      </w:r>
      <w:r w:rsidRPr="00F37C36">
        <w:rPr>
          <w:spacing w:val="4"/>
          <w:w w:val="103"/>
          <w:kern w:val="14"/>
          <w:lang w:eastAsia="zh-CN"/>
        </w:rPr>
        <w:tab/>
      </w:r>
      <w:r>
        <w:t>A</w:t>
      </w:r>
      <w:r w:rsidRPr="00C875DC">
        <w:t>nnex 1</w:t>
      </w:r>
      <w:r>
        <w:t>, Appendix 2, section 4.5.2</w:t>
      </w:r>
    </w:p>
    <w:p w:rsidR="005024AA" w:rsidRDefault="005024AA" w:rsidP="005024AA">
      <w:pPr>
        <w:pStyle w:val="SingleTxtG"/>
      </w:pPr>
      <w:r>
        <w:rPr>
          <w:iCs/>
        </w:rPr>
        <w:t xml:space="preserve">Replace the formula </w:t>
      </w:r>
      <w:proofErr w:type="gramStart"/>
      <w:r>
        <w:rPr>
          <w:iCs/>
        </w:rPr>
        <w:t xml:space="preserve">" </w:t>
      </w:r>
      <m:oMath>
        <m:f>
          <m:fPr>
            <m:ctrlPr>
              <w:rPr>
                <w:rFonts w:ascii="Cambria Math" w:hAnsi="Cambria Math"/>
                <w:i/>
                <w:iCs/>
              </w:rPr>
            </m:ctrlPr>
          </m:fPr>
          <m:num>
            <w:proofErr w:type="gramEnd"/>
            <m:sSub>
              <m:sSubPr>
                <m:ctrlPr>
                  <w:rPr>
                    <w:rFonts w:ascii="Cambria Math" w:hAnsi="Cambria Math"/>
                    <w:i/>
                    <w:iCs/>
                  </w:rPr>
                </m:ctrlPr>
              </m:sSubPr>
              <m:e>
                <m:r>
                  <w:rPr>
                    <w:rFonts w:ascii="Cambria Math" w:hAnsi="Cambria Math"/>
                    <w:lang w:val="en-US"/>
                  </w:rPr>
                  <m:t>Q</m:t>
                </m:r>
              </m:e>
              <m:sub>
                <m:r>
                  <w:rPr>
                    <w:rFonts w:ascii="Cambria Math" w:hAnsi="Cambria Math"/>
                  </w:rPr>
                  <m:t>mod</m:t>
                </m:r>
              </m:sub>
            </m:sSub>
            <m:r>
              <w:rPr>
                <w:rFonts w:ascii="Cambria Math" w:hAnsi="Cambria Math"/>
              </w:rPr>
              <m:t>-</m:t>
            </m:r>
            <m:sSub>
              <m:sSubPr>
                <m:ctrlPr>
                  <w:rPr>
                    <w:rFonts w:ascii="Cambria Math" w:hAnsi="Cambria Math"/>
                    <w:i/>
                    <w:iCs/>
                  </w:rPr>
                </m:ctrlPr>
              </m:sSubPr>
              <m:e>
                <m:r>
                  <w:rPr>
                    <w:rFonts w:ascii="Cambria Math" w:hAnsi="Cambria Math"/>
                    <w:lang w:val="en-US"/>
                  </w:rPr>
                  <m:t>Q</m:t>
                </m:r>
              </m:e>
              <m:sub>
                <m:r>
                  <w:rPr>
                    <w:rFonts w:ascii="Cambria Math" w:hAnsi="Cambria Math"/>
                    <w:lang w:val="en-US"/>
                  </w:rPr>
                  <m:t>Ref</m:t>
                </m:r>
              </m:sub>
            </m:sSub>
            <m:r>
              <m:rPr>
                <m:sty m:val="p"/>
              </m:rPr>
              <w:rPr>
                <w:rFonts w:ascii="Cambria Math" w:hAnsi="Cambria Math"/>
              </w:rPr>
              <m:t xml:space="preserve"> </m:t>
            </m:r>
          </m:num>
          <m:den>
            <m:sSub>
              <m:sSubPr>
                <m:ctrlPr>
                  <w:rPr>
                    <w:rFonts w:ascii="Cambria Math" w:hAnsi="Cambria Math"/>
                    <w:i/>
                    <w:iCs/>
                  </w:rPr>
                </m:ctrlPr>
              </m:sSubPr>
              <m:e>
                <m:r>
                  <w:rPr>
                    <w:rFonts w:ascii="Cambria Math" w:hAnsi="Cambria Math"/>
                    <w:lang w:val="en-US"/>
                  </w:rPr>
                  <m:t>Q</m:t>
                </m:r>
              </m:e>
              <m:sub>
                <m:r>
                  <w:rPr>
                    <w:rFonts w:ascii="Cambria Math" w:hAnsi="Cambria Math"/>
                    <w:lang w:val="en-US"/>
                  </w:rPr>
                  <m:t>ref</m:t>
                </m:r>
              </m:sub>
            </m:sSub>
          </m:den>
        </m:f>
        <m:r>
          <w:rPr>
            <w:rFonts w:ascii="Cambria Math" w:hAnsi="Cambria Math"/>
          </w:rPr>
          <m:t>≥-0,10</m:t>
        </m:r>
      </m:oMath>
      <w:r w:rsidRPr="00A04F62">
        <w:t xml:space="preserve"> </w:t>
      </w:r>
      <w:r>
        <w:t>(1)" with the formula "</w:t>
      </w:r>
      <w:r>
        <w:rPr>
          <w:iCs/>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lang w:val="en-US"/>
                  </w:rPr>
                  <m:t>Q</m:t>
                </m:r>
              </m:e>
              <m:sub>
                <m:r>
                  <w:rPr>
                    <w:rFonts w:ascii="Cambria Math" w:hAnsi="Cambria Math"/>
                  </w:rPr>
                  <m:t>mod</m:t>
                </m:r>
              </m:sub>
            </m:sSub>
            <m:r>
              <w:rPr>
                <w:rFonts w:ascii="Cambria Math" w:hAnsi="Cambria Math"/>
              </w:rPr>
              <m:t>-</m:t>
            </m:r>
            <m:sSub>
              <m:sSubPr>
                <m:ctrlPr>
                  <w:rPr>
                    <w:rFonts w:ascii="Cambria Math" w:hAnsi="Cambria Math"/>
                    <w:i/>
                    <w:iCs/>
                  </w:rPr>
                </m:ctrlPr>
              </m:sSubPr>
              <m:e>
                <m:r>
                  <w:rPr>
                    <w:rFonts w:ascii="Cambria Math" w:hAnsi="Cambria Math"/>
                    <w:lang w:val="en-US"/>
                  </w:rPr>
                  <m:t>Q</m:t>
                </m:r>
              </m:e>
              <m:sub>
                <m:r>
                  <w:rPr>
                    <w:rFonts w:ascii="Cambria Math" w:hAnsi="Cambria Math"/>
                    <w:lang w:val="en-US"/>
                  </w:rPr>
                  <m:t>Ref</m:t>
                </m:r>
              </m:sub>
            </m:sSub>
            <m:r>
              <m:rPr>
                <m:sty m:val="p"/>
              </m:rPr>
              <w:rPr>
                <w:rFonts w:ascii="Cambria Math" w:hAnsi="Cambria Math"/>
              </w:rPr>
              <m:t xml:space="preserve"> </m:t>
            </m:r>
          </m:num>
          <m:den>
            <m:sSub>
              <m:sSubPr>
                <m:ctrlPr>
                  <w:rPr>
                    <w:rFonts w:ascii="Cambria Math" w:hAnsi="Cambria Math"/>
                    <w:i/>
                    <w:iCs/>
                  </w:rPr>
                </m:ctrlPr>
              </m:sSubPr>
              <m:e>
                <m:r>
                  <w:rPr>
                    <w:rFonts w:ascii="Cambria Math" w:hAnsi="Cambria Math"/>
                    <w:lang w:val="en-US"/>
                  </w:rPr>
                  <m:t>Q</m:t>
                </m:r>
              </m:e>
              <m:sub>
                <m:r>
                  <w:rPr>
                    <w:rFonts w:ascii="Cambria Math" w:hAnsi="Cambria Math"/>
                    <w:lang w:val="en-US"/>
                  </w:rPr>
                  <m:t>ref</m:t>
                </m:r>
              </m:sub>
            </m:sSub>
          </m:den>
        </m:f>
        <m:r>
          <w:rPr>
            <w:rFonts w:ascii="Cambria Math" w:hAnsi="Cambria Math"/>
          </w:rPr>
          <m:t>≥-0.10"</m:t>
        </m:r>
      </m:oMath>
    </w:p>
    <w:p w:rsidR="005024AA" w:rsidRDefault="005024AA" w:rsidP="005024AA">
      <w:pPr>
        <w:pStyle w:val="SingleTxtG"/>
        <w:ind w:left="1130"/>
        <w:rPr>
          <w:i/>
        </w:rPr>
      </w:pPr>
      <w:r w:rsidRPr="00E679F6">
        <w:rPr>
          <w:i/>
        </w:rPr>
        <w:t xml:space="preserve">Consequential amendment: </w:t>
      </w:r>
    </w:p>
    <w:p w:rsidR="005024AA" w:rsidRDefault="005024AA" w:rsidP="005024AA">
      <w:pPr>
        <w:pStyle w:val="SingleTxtG"/>
        <w:rPr>
          <w:iCs/>
        </w:rPr>
      </w:pPr>
      <w:r>
        <w:rPr>
          <w:iCs/>
        </w:rPr>
        <w:t>In Annex 1, appendix 2, section 9.2.1:</w:t>
      </w:r>
    </w:p>
    <w:p w:rsidR="005024AA" w:rsidRPr="00807CBC" w:rsidRDefault="005024AA" w:rsidP="005024AA">
      <w:pPr>
        <w:pStyle w:val="SingleTxtG"/>
        <w:rPr>
          <w:iCs/>
        </w:rPr>
      </w:pPr>
      <w:r>
        <w:rPr>
          <w:iCs/>
        </w:rPr>
        <w:t xml:space="preserve">In the formula </w:t>
      </w:r>
      <w:proofErr w:type="gramStart"/>
      <w:r>
        <w:rPr>
          <w:iCs/>
        </w:rPr>
        <w:t>"</w:t>
      </w:r>
      <w:r>
        <w:t xml:space="preserve"> </w:t>
      </w:r>
      <w:r w:rsidRPr="00CE4045">
        <w:rPr>
          <w:rFonts w:asciiTheme="majorBidi" w:hAnsiTheme="majorBidi" w:cstheme="majorBidi"/>
          <w:position w:val="-32"/>
          <w:sz w:val="22"/>
          <w:szCs w:val="22"/>
        </w:rPr>
        <w:object w:dxaOrig="31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pt;height:30.55pt" o:ole="" filled="t">
            <v:fill color2="black"/>
            <v:imagedata r:id="rId4" o:title=""/>
          </v:shape>
          <o:OLEObject Type="Embed" ProgID="Equation.3" ShapeID="_x0000_i1025" DrawAspect="Content" ObjectID="_1739787941" r:id="rId5"/>
        </w:object>
      </w:r>
      <w:r>
        <w:t xml:space="preserve"> replace “0,035” by “0.035”.</w:t>
      </w:r>
    </w:p>
    <w:p w:rsidR="005024AA" w:rsidRPr="007B5A29" w:rsidRDefault="005024AA" w:rsidP="005024AA">
      <w:pPr>
        <w:pStyle w:val="SingleTxtG"/>
        <w:rPr>
          <w:i/>
        </w:rPr>
      </w:pPr>
      <w:r w:rsidRPr="007B5A29">
        <w:rPr>
          <w:i/>
        </w:rPr>
        <w:t>(Reference document: ECE/TRANS/WP.11/2021/2)</w:t>
      </w:r>
    </w:p>
    <w:p w:rsidR="005024AA"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6</w:t>
      </w:r>
      <w:r w:rsidRPr="00D56B2E">
        <w:rPr>
          <w:spacing w:val="4"/>
          <w:w w:val="103"/>
          <w:kern w:val="14"/>
          <w:lang w:eastAsia="zh-CN"/>
        </w:rPr>
        <w:t>.</w:t>
      </w:r>
      <w:r w:rsidRPr="00D56B2E">
        <w:rPr>
          <w:spacing w:val="4"/>
          <w:w w:val="103"/>
          <w:kern w:val="14"/>
          <w:lang w:eastAsia="zh-CN"/>
        </w:rPr>
        <w:tab/>
      </w:r>
      <w:r w:rsidRPr="006B7466">
        <w:rPr>
          <w:spacing w:val="4"/>
          <w:w w:val="103"/>
          <w:kern w:val="14"/>
          <w:lang w:eastAsia="zh-CN"/>
        </w:rPr>
        <w:t xml:space="preserve">Annex 1, </w:t>
      </w:r>
      <w:r>
        <w:rPr>
          <w:spacing w:val="4"/>
          <w:w w:val="103"/>
          <w:kern w:val="14"/>
          <w:lang w:eastAsia="zh-CN"/>
        </w:rPr>
        <w:t>A</w:t>
      </w:r>
      <w:r w:rsidRPr="006B7466">
        <w:rPr>
          <w:spacing w:val="4"/>
          <w:w w:val="103"/>
          <w:kern w:val="14"/>
          <w:lang w:eastAsia="zh-CN"/>
        </w:rPr>
        <w:t xml:space="preserve">ppendix 2, section </w:t>
      </w:r>
      <w:r>
        <w:rPr>
          <w:spacing w:val="4"/>
          <w:w w:val="103"/>
          <w:kern w:val="14"/>
          <w:lang w:eastAsia="zh-CN"/>
        </w:rPr>
        <w:t>6.2.3</w:t>
      </w:r>
    </w:p>
    <w:p w:rsidR="005024AA" w:rsidRPr="004A388B" w:rsidRDefault="005024AA" w:rsidP="005024AA">
      <w:pPr>
        <w:pStyle w:val="SingleTxtG"/>
      </w:pPr>
      <w:r>
        <w:t>Amend</w:t>
      </w:r>
      <w:r w:rsidRPr="004A388B">
        <w:t xml:space="preserve"> paragraph 6.2.3 </w:t>
      </w:r>
      <w:r>
        <w:t>to read as follows</w:t>
      </w:r>
      <w:r w:rsidRPr="004A388B">
        <w:t>:</w:t>
      </w:r>
    </w:p>
    <w:p w:rsidR="005024AA" w:rsidRPr="004A388B" w:rsidRDefault="005024AA" w:rsidP="005024AA">
      <w:pPr>
        <w:pStyle w:val="SingleTxtG"/>
      </w:pPr>
      <w:r>
        <w:t>"</w:t>
      </w:r>
      <w:r w:rsidRPr="004A388B">
        <w:t>At the request of the manufacturer, replacement of the original refrigerant fluid of mechanically refrigerated equipment in service is allowed under the following conditions:</w:t>
      </w:r>
    </w:p>
    <w:p w:rsidR="005024AA" w:rsidRPr="00BB2ED6" w:rsidRDefault="005024AA" w:rsidP="005024AA">
      <w:pPr>
        <w:pStyle w:val="SingleTxtG"/>
        <w:ind w:firstLine="567"/>
      </w:pPr>
      <w:r>
        <w:tab/>
      </w:r>
      <w:r w:rsidRPr="00BB2ED6">
        <w:t>(a)</w:t>
      </w:r>
      <w:r w:rsidRPr="00BB2ED6">
        <w:tab/>
        <w:t>a test report or addendum confirming equivalence to a similar mechanically refrigerated unit with the drop-in refrigerant fluid is available in accordance with annex 1, appendix 2, section 4.5 of the ATP Agreement; and</w:t>
      </w:r>
    </w:p>
    <w:p w:rsidR="005024AA" w:rsidRPr="00BB2ED6" w:rsidRDefault="005024AA" w:rsidP="005024AA">
      <w:pPr>
        <w:pStyle w:val="SingleTxtG"/>
        <w:ind w:firstLine="567"/>
      </w:pPr>
      <w:r w:rsidRPr="00BB2ED6">
        <w:tab/>
        <w:t>(b)</w:t>
      </w:r>
      <w:r w:rsidRPr="00BB2ED6">
        <w:tab/>
      </w:r>
      <w:proofErr w:type="gramStart"/>
      <w:r w:rsidRPr="00BB2ED6">
        <w:t>an</w:t>
      </w:r>
      <w:proofErr w:type="gramEnd"/>
      <w:r w:rsidRPr="00BB2ED6">
        <w:t xml:space="preserve"> efficiency test according to 6.2.1 or 6.2.2 has been successfully carried out.</w:t>
      </w:r>
    </w:p>
    <w:p w:rsidR="005024AA" w:rsidRPr="004A388B" w:rsidRDefault="005024AA" w:rsidP="005024AA">
      <w:pPr>
        <w:pStyle w:val="SingleTxtG"/>
      </w:pPr>
      <w:r w:rsidRPr="004A388B">
        <w:t>In the event that the request is accepted, the manufacturer</w:t>
      </w:r>
      <w:r>
        <w:t>’</w:t>
      </w:r>
      <w:r w:rsidRPr="004A388B">
        <w:t>s plate must be corrected accordingly.</w:t>
      </w:r>
    </w:p>
    <w:p w:rsidR="005024AA" w:rsidRPr="004A388B" w:rsidRDefault="005024AA" w:rsidP="005024AA">
      <w:pPr>
        <w:pStyle w:val="SingleTxtG"/>
        <w:spacing w:after="240"/>
      </w:pPr>
      <w:r w:rsidRPr="004A388B">
        <w:t>In the particular case of replacement of the refrigerant fluid such as those mentioned in the table below, subparagraph (a) only requires the manufacturer to request from the official test station the issue of an addendum without any additional testing.</w:t>
      </w:r>
    </w:p>
    <w:tbl>
      <w:tblPr>
        <w:tblStyle w:val="TaulukkoRuudukko"/>
        <w:tblW w:w="0" w:type="auto"/>
        <w:tblInd w:w="1134" w:type="dxa"/>
        <w:tblLayout w:type="fixed"/>
        <w:tblLook w:val="04A0" w:firstRow="1" w:lastRow="0" w:firstColumn="1" w:lastColumn="0" w:noHBand="0" w:noVBand="1"/>
      </w:tblPr>
      <w:tblGrid>
        <w:gridCol w:w="3681"/>
        <w:gridCol w:w="3685"/>
      </w:tblGrid>
      <w:tr w:rsidR="005024AA" w:rsidRPr="004A388B" w:rsidTr="00194D0B">
        <w:tc>
          <w:tcPr>
            <w:tcW w:w="3681"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rsidRPr="004A388B">
              <w:t xml:space="preserve">Original </w:t>
            </w:r>
            <w:proofErr w:type="spellStart"/>
            <w:r w:rsidRPr="004A388B">
              <w:t>refrigerant</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rsidRPr="004A388B">
              <w:t xml:space="preserve">Drop-in </w:t>
            </w:r>
            <w:proofErr w:type="spellStart"/>
            <w:r w:rsidRPr="004A388B">
              <w:t>refrigerant</w:t>
            </w:r>
            <w:proofErr w:type="spellEnd"/>
          </w:p>
        </w:tc>
      </w:tr>
      <w:tr w:rsidR="005024AA" w:rsidRPr="004A388B" w:rsidTr="00194D0B">
        <w:tc>
          <w:tcPr>
            <w:tcW w:w="3681"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rsidRPr="004A388B">
              <w:t>R404A</w:t>
            </w:r>
          </w:p>
        </w:tc>
        <w:tc>
          <w:tcPr>
            <w:tcW w:w="3685"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pPr>
            <w:r w:rsidRPr="004A388B">
              <w:t>R452A</w:t>
            </w:r>
          </w:p>
        </w:tc>
      </w:tr>
    </w:tbl>
    <w:p w:rsidR="005024AA" w:rsidRPr="004A388B" w:rsidRDefault="005024AA" w:rsidP="005024AA">
      <w:pPr>
        <w:pStyle w:val="SingleTxtG"/>
        <w:jc w:val="right"/>
      </w:pPr>
      <w:r>
        <w:t>"</w:t>
      </w:r>
    </w:p>
    <w:p w:rsidR="005024AA" w:rsidRPr="00E461B3" w:rsidRDefault="005024AA" w:rsidP="005024AA">
      <w:pPr>
        <w:pStyle w:val="SingleTxtG"/>
        <w:rPr>
          <w:i/>
        </w:rPr>
      </w:pPr>
      <w:r w:rsidRPr="00E461B3">
        <w:rPr>
          <w:i/>
        </w:rPr>
        <w:tab/>
      </w:r>
      <w:r w:rsidRPr="0018140C">
        <w:rPr>
          <w:i/>
        </w:rPr>
        <w:t>(Reference document: ECE/TRANS/WP.11/2021/</w:t>
      </w:r>
      <w:r>
        <w:rPr>
          <w:i/>
        </w:rPr>
        <w:t>7</w:t>
      </w:r>
      <w:r w:rsidRPr="0018140C">
        <w:rPr>
          <w:i/>
        </w:rPr>
        <w:t>)</w:t>
      </w:r>
    </w:p>
    <w:p w:rsidR="005024AA" w:rsidRDefault="005024AA" w:rsidP="005024AA">
      <w:pPr>
        <w:pStyle w:val="H23G"/>
        <w:rPr>
          <w:spacing w:val="4"/>
          <w:w w:val="103"/>
          <w:kern w:val="14"/>
          <w:lang w:eastAsia="zh-CN"/>
        </w:rPr>
      </w:pPr>
      <w:r w:rsidRPr="007B5A29">
        <w:rPr>
          <w:spacing w:val="4"/>
          <w:w w:val="103"/>
          <w:kern w:val="14"/>
          <w:lang w:eastAsia="zh-CN"/>
        </w:rPr>
        <w:tab/>
      </w:r>
      <w:r w:rsidRPr="007B5A29">
        <w:rPr>
          <w:spacing w:val="4"/>
          <w:w w:val="103"/>
          <w:kern w:val="14"/>
          <w:lang w:eastAsia="zh-CN"/>
        </w:rPr>
        <w:tab/>
      </w:r>
      <w:r>
        <w:rPr>
          <w:spacing w:val="4"/>
          <w:w w:val="103"/>
          <w:kern w:val="14"/>
          <w:lang w:eastAsia="zh-CN"/>
        </w:rPr>
        <w:t>7</w:t>
      </w:r>
      <w:r w:rsidRPr="006B7466">
        <w:rPr>
          <w:spacing w:val="4"/>
          <w:w w:val="103"/>
          <w:kern w:val="14"/>
          <w:lang w:eastAsia="zh-CN"/>
        </w:rPr>
        <w:t>.</w:t>
      </w:r>
      <w:r w:rsidRPr="006B7466">
        <w:rPr>
          <w:spacing w:val="4"/>
          <w:w w:val="103"/>
          <w:kern w:val="14"/>
          <w:lang w:eastAsia="zh-CN"/>
        </w:rPr>
        <w:tab/>
        <w:t xml:space="preserve">Annex 1, </w:t>
      </w:r>
      <w:r>
        <w:rPr>
          <w:spacing w:val="4"/>
          <w:w w:val="103"/>
          <w:kern w:val="14"/>
          <w:lang w:eastAsia="zh-CN"/>
        </w:rPr>
        <w:t>A</w:t>
      </w:r>
      <w:r w:rsidRPr="006B7466">
        <w:rPr>
          <w:spacing w:val="4"/>
          <w:w w:val="103"/>
          <w:kern w:val="14"/>
          <w:lang w:eastAsia="zh-CN"/>
        </w:rPr>
        <w:t xml:space="preserve">ppendix </w:t>
      </w:r>
      <w:r>
        <w:rPr>
          <w:spacing w:val="4"/>
          <w:w w:val="103"/>
          <w:kern w:val="14"/>
          <w:lang w:eastAsia="zh-CN"/>
        </w:rPr>
        <w:t xml:space="preserve">2, </w:t>
      </w:r>
      <w:r>
        <w:rPr>
          <w:rFonts w:cs="Arial"/>
          <w:lang w:val="en-US"/>
        </w:rPr>
        <w:t>paragraph 7.3.2</w:t>
      </w:r>
    </w:p>
    <w:p w:rsidR="005024AA" w:rsidRPr="00BB56AA" w:rsidRDefault="005024AA" w:rsidP="005024AA">
      <w:pPr>
        <w:pStyle w:val="SingleTxtG"/>
      </w:pPr>
      <w:r w:rsidRPr="00BB56AA">
        <w:tab/>
        <w:t xml:space="preserve">Amend the second line of paragraph 7.3.2, which starts with </w:t>
      </w:r>
      <w:r>
        <w:t>"</w:t>
      </w:r>
      <w:r w:rsidRPr="00BB56AA">
        <w:t>The internal…</w:t>
      </w:r>
      <w:proofErr w:type="gramStart"/>
      <w:r>
        <w:t>"</w:t>
      </w:r>
      <w:r w:rsidRPr="00BB56AA">
        <w:t>,</w:t>
      </w:r>
      <w:proofErr w:type="gramEnd"/>
      <w:r w:rsidRPr="00BB56AA">
        <w:t xml:space="preserve"> to read as follows:</w:t>
      </w:r>
    </w:p>
    <w:p w:rsidR="005024AA" w:rsidRPr="006174E6" w:rsidRDefault="005024AA" w:rsidP="005024AA">
      <w:pPr>
        <w:pStyle w:val="SingleTxtG"/>
      </w:pPr>
      <w:r>
        <w:t>"</w:t>
      </w:r>
      <w:r w:rsidRPr="006174E6">
        <w:t xml:space="preserve">The internal surface </w:t>
      </w:r>
      <w:r w:rsidRPr="008E1931">
        <w:rPr>
          <w:bCs/>
        </w:rPr>
        <w:t>area</w:t>
      </w:r>
      <w:r w:rsidRPr="006174E6">
        <w:t xml:space="preserve"> of the body shall not vary by more than 20 %.</w:t>
      </w:r>
      <w:r>
        <w:t>"</w:t>
      </w:r>
    </w:p>
    <w:p w:rsidR="005024AA" w:rsidRPr="006676AA" w:rsidRDefault="005024AA" w:rsidP="005024AA">
      <w:pPr>
        <w:pStyle w:val="SingleTxtG"/>
        <w:rPr>
          <w:i/>
          <w:lang w:val="en-US"/>
        </w:rPr>
      </w:pPr>
      <w:r w:rsidRPr="006676AA">
        <w:rPr>
          <w:i/>
          <w:lang w:val="en-US"/>
        </w:rPr>
        <w:t>(Reference document: ECE/TRANS/WP.11/2021/16)</w:t>
      </w:r>
    </w:p>
    <w:p w:rsidR="005024AA" w:rsidRPr="006676AA" w:rsidRDefault="005024AA" w:rsidP="005024AA">
      <w:pPr>
        <w:pStyle w:val="H23G"/>
        <w:rPr>
          <w:w w:val="103"/>
          <w:lang w:val="en-US" w:eastAsia="zh-CN"/>
        </w:rPr>
      </w:pPr>
      <w:r w:rsidRPr="006676AA">
        <w:rPr>
          <w:w w:val="103"/>
          <w:lang w:val="en-US" w:eastAsia="zh-CN"/>
        </w:rPr>
        <w:lastRenderedPageBreak/>
        <w:tab/>
      </w:r>
      <w:r w:rsidRPr="006676AA">
        <w:rPr>
          <w:w w:val="103"/>
          <w:lang w:val="en-US" w:eastAsia="zh-CN"/>
        </w:rPr>
        <w:tab/>
      </w:r>
      <w:r w:rsidRPr="006676AA">
        <w:rPr>
          <w:w w:val="103"/>
          <w:lang w:val="en-US" w:eastAsia="zh-CN"/>
        </w:rPr>
        <w:tab/>
        <w:t>8.</w:t>
      </w:r>
      <w:r w:rsidRPr="006676AA">
        <w:rPr>
          <w:w w:val="103"/>
          <w:lang w:val="en-US" w:eastAsia="zh-CN"/>
        </w:rPr>
        <w:tab/>
      </w:r>
      <w:r w:rsidRPr="006676AA">
        <w:rPr>
          <w:lang w:val="en-US"/>
        </w:rPr>
        <w:t>Annex</w:t>
      </w:r>
      <w:r w:rsidRPr="006676AA">
        <w:rPr>
          <w:w w:val="103"/>
          <w:lang w:val="en-US" w:eastAsia="zh-CN"/>
        </w:rPr>
        <w:t xml:space="preserve"> 1, Appendix 2, </w:t>
      </w:r>
      <w:r w:rsidRPr="006676AA">
        <w:rPr>
          <w:rFonts w:cs="Arial"/>
          <w:lang w:val="en-US"/>
        </w:rPr>
        <w:t>paragraph 7.3.2</w:t>
      </w:r>
    </w:p>
    <w:p w:rsidR="005024AA" w:rsidRPr="00F45DF4" w:rsidRDefault="005024AA" w:rsidP="005024AA">
      <w:pPr>
        <w:pStyle w:val="SingleTxtG"/>
        <w:rPr>
          <w:lang w:val="en-US"/>
        </w:rPr>
      </w:pPr>
      <w:r>
        <w:rPr>
          <w:lang w:val="en-US"/>
        </w:rPr>
        <w:t xml:space="preserve">Amend the definition of </w:t>
      </w:r>
      <w:proofErr w:type="spellStart"/>
      <w:r w:rsidRPr="00382FAB">
        <w:rPr>
          <w:i/>
          <w:iCs/>
        </w:rPr>
        <w:t>S</w:t>
      </w:r>
      <w:r w:rsidRPr="00382FAB">
        <w:rPr>
          <w:i/>
          <w:iCs/>
          <w:vertAlign w:val="subscript"/>
        </w:rPr>
        <w:t>body</w:t>
      </w:r>
      <w:proofErr w:type="spellEnd"/>
      <w:r>
        <w:rPr>
          <w:i/>
          <w:iCs/>
        </w:rPr>
        <w:t xml:space="preserve"> </w:t>
      </w:r>
      <w:r>
        <w:rPr>
          <w:lang w:val="en-US"/>
        </w:rPr>
        <w:t>to read as follows:</w:t>
      </w:r>
    </w:p>
    <w:p w:rsidR="005024AA" w:rsidRPr="006174E6" w:rsidRDefault="005024AA" w:rsidP="005024AA">
      <w:pPr>
        <w:pStyle w:val="SingleTxtG"/>
      </w:pPr>
      <w:r>
        <w:t>"</w:t>
      </w:r>
      <w:proofErr w:type="spellStart"/>
      <w:r w:rsidRPr="006174E6">
        <w:t>S</w:t>
      </w:r>
      <w:r w:rsidRPr="006174E6">
        <w:rPr>
          <w:vertAlign w:val="subscript"/>
        </w:rPr>
        <w:t>body</w:t>
      </w:r>
      <w:proofErr w:type="spellEnd"/>
      <w:r w:rsidRPr="006174E6">
        <w:t xml:space="preserve"> </w:t>
      </w:r>
      <w:r>
        <w:t xml:space="preserve">is the geometric </w:t>
      </w:r>
      <w:r w:rsidRPr="000F1F7D">
        <w:t>mean of the inside surface area and the</w:t>
      </w:r>
      <w:r>
        <w:t xml:space="preserve"> outside surface area of the body</w:t>
      </w:r>
      <w:r w:rsidRPr="006174E6">
        <w:t>,</w:t>
      </w:r>
      <w:r>
        <w:t>"</w:t>
      </w:r>
      <w:r w:rsidRPr="006174E6">
        <w:t xml:space="preserve"> </w:t>
      </w:r>
    </w:p>
    <w:p w:rsidR="005024AA" w:rsidRDefault="005024AA" w:rsidP="005024AA">
      <w:pPr>
        <w:pStyle w:val="SingleTxtG"/>
        <w:rPr>
          <w:i/>
        </w:rPr>
      </w:pPr>
      <w:r w:rsidRPr="007B5A29">
        <w:rPr>
          <w:i/>
        </w:rPr>
        <w:t>(Reference document: ECE/TRANS/WP.11/2021/</w:t>
      </w:r>
      <w:r>
        <w:rPr>
          <w:i/>
        </w:rPr>
        <w:t>16, as amended</w:t>
      </w:r>
      <w:r w:rsidRPr="007B5A29">
        <w:rPr>
          <w:i/>
        </w:rPr>
        <w:t>)</w:t>
      </w:r>
    </w:p>
    <w:p w:rsidR="005024AA" w:rsidRDefault="005024AA" w:rsidP="005024AA">
      <w:pPr>
        <w:pStyle w:val="H23G"/>
        <w:rPr>
          <w:spacing w:val="4"/>
          <w:w w:val="103"/>
          <w:kern w:val="14"/>
          <w:lang w:eastAsia="zh-CN"/>
        </w:rPr>
      </w:pPr>
      <w:r w:rsidRPr="007B5A29">
        <w:rPr>
          <w:spacing w:val="4"/>
          <w:w w:val="103"/>
          <w:kern w:val="14"/>
          <w:lang w:eastAsia="zh-CN"/>
        </w:rPr>
        <w:tab/>
      </w:r>
      <w:r w:rsidRPr="007B5A29">
        <w:rPr>
          <w:spacing w:val="4"/>
          <w:w w:val="103"/>
          <w:kern w:val="14"/>
          <w:lang w:eastAsia="zh-CN"/>
        </w:rPr>
        <w:tab/>
      </w:r>
      <w:r>
        <w:rPr>
          <w:spacing w:val="4"/>
          <w:w w:val="103"/>
          <w:kern w:val="14"/>
          <w:lang w:eastAsia="zh-CN"/>
        </w:rPr>
        <w:t>9</w:t>
      </w:r>
      <w:r w:rsidRPr="006B7466">
        <w:rPr>
          <w:spacing w:val="4"/>
          <w:w w:val="103"/>
          <w:kern w:val="14"/>
          <w:lang w:eastAsia="zh-CN"/>
        </w:rPr>
        <w:t>.</w:t>
      </w:r>
      <w:r w:rsidRPr="006B7466">
        <w:rPr>
          <w:spacing w:val="4"/>
          <w:w w:val="103"/>
          <w:kern w:val="14"/>
          <w:lang w:eastAsia="zh-CN"/>
        </w:rPr>
        <w:tab/>
        <w:t xml:space="preserve">Annex 1, </w:t>
      </w:r>
      <w:r>
        <w:rPr>
          <w:spacing w:val="4"/>
          <w:w w:val="103"/>
          <w:kern w:val="14"/>
          <w:lang w:eastAsia="zh-CN"/>
        </w:rPr>
        <w:t>A</w:t>
      </w:r>
      <w:r w:rsidRPr="006B7466">
        <w:rPr>
          <w:spacing w:val="4"/>
          <w:w w:val="103"/>
          <w:kern w:val="14"/>
          <w:lang w:eastAsia="zh-CN"/>
        </w:rPr>
        <w:t xml:space="preserve">ppendix </w:t>
      </w:r>
      <w:r>
        <w:rPr>
          <w:spacing w:val="4"/>
          <w:w w:val="103"/>
          <w:kern w:val="14"/>
          <w:lang w:eastAsia="zh-CN"/>
        </w:rPr>
        <w:t xml:space="preserve">2, </w:t>
      </w:r>
      <w:r>
        <w:rPr>
          <w:rFonts w:cs="Arial"/>
          <w:lang w:val="en-US"/>
        </w:rPr>
        <w:t>paragraph 7.3.3</w:t>
      </w:r>
    </w:p>
    <w:p w:rsidR="005024AA" w:rsidRPr="00F45DF4" w:rsidRDefault="005024AA" w:rsidP="005024AA">
      <w:pPr>
        <w:pStyle w:val="SingleTxtG"/>
        <w:rPr>
          <w:lang w:val="en-US"/>
        </w:rPr>
      </w:pPr>
      <w:r>
        <w:rPr>
          <w:lang w:val="en-US"/>
        </w:rPr>
        <w:t xml:space="preserve">Amend the definition of </w:t>
      </w:r>
      <w:proofErr w:type="spellStart"/>
      <w:r w:rsidRPr="00A57916">
        <w:rPr>
          <w:i/>
          <w:iCs/>
        </w:rPr>
        <w:t>S</w:t>
      </w:r>
      <w:r w:rsidRPr="00A57916">
        <w:rPr>
          <w:i/>
          <w:iCs/>
          <w:vertAlign w:val="subscript"/>
        </w:rPr>
        <w:t>chilled</w:t>
      </w:r>
      <w:proofErr w:type="spellEnd"/>
      <w:r w:rsidRPr="00A57916">
        <w:rPr>
          <w:i/>
          <w:iCs/>
          <w:vertAlign w:val="subscript"/>
        </w:rPr>
        <w:t>-comp</w:t>
      </w:r>
      <w:r>
        <w:rPr>
          <w:lang w:val="en-US"/>
        </w:rPr>
        <w:t xml:space="preserve"> to read as follows:</w:t>
      </w:r>
    </w:p>
    <w:p w:rsidR="005024AA" w:rsidRPr="00BD016B" w:rsidRDefault="005024AA" w:rsidP="005024AA">
      <w:pPr>
        <w:pStyle w:val="SingleTxtG"/>
      </w:pPr>
      <w:r>
        <w:t>"</w:t>
      </w:r>
      <w:proofErr w:type="spellStart"/>
      <w:r w:rsidRPr="00BD016B">
        <w:t>S</w:t>
      </w:r>
      <w:r w:rsidRPr="00BD016B">
        <w:rPr>
          <w:vertAlign w:val="subscript"/>
        </w:rPr>
        <w:t>chilled</w:t>
      </w:r>
      <w:proofErr w:type="spellEnd"/>
      <w:r w:rsidRPr="00BD016B">
        <w:rPr>
          <w:vertAlign w:val="subscript"/>
        </w:rPr>
        <w:t>-comp</w:t>
      </w:r>
      <w:r w:rsidRPr="00BD016B">
        <w:t xml:space="preserve"> is the inside surface area of the chilled compartment for the given positions of the bulkheads,</w:t>
      </w:r>
      <w:r>
        <w:t>"</w:t>
      </w:r>
    </w:p>
    <w:p w:rsidR="005024AA" w:rsidRPr="006676AA" w:rsidRDefault="005024AA" w:rsidP="005024AA">
      <w:pPr>
        <w:pStyle w:val="SingleTxtG"/>
        <w:rPr>
          <w:i/>
          <w:lang w:val="en-US"/>
        </w:rPr>
      </w:pPr>
      <w:r w:rsidRPr="006676AA">
        <w:rPr>
          <w:i/>
          <w:lang w:val="en-US"/>
        </w:rPr>
        <w:t>(Reference document: ECE/TRANS/WP.11/2021/16)</w:t>
      </w:r>
    </w:p>
    <w:p w:rsidR="005024AA" w:rsidRPr="006676AA" w:rsidRDefault="005024AA" w:rsidP="005024AA">
      <w:pPr>
        <w:pStyle w:val="H23G"/>
        <w:rPr>
          <w:spacing w:val="4"/>
          <w:w w:val="103"/>
          <w:kern w:val="14"/>
          <w:lang w:val="en-US" w:eastAsia="zh-CN"/>
        </w:rPr>
      </w:pPr>
      <w:r w:rsidRPr="006676AA">
        <w:rPr>
          <w:spacing w:val="4"/>
          <w:w w:val="103"/>
          <w:kern w:val="14"/>
          <w:lang w:val="en-US" w:eastAsia="zh-CN"/>
        </w:rPr>
        <w:tab/>
      </w:r>
      <w:r w:rsidRPr="006676AA">
        <w:rPr>
          <w:spacing w:val="4"/>
          <w:w w:val="103"/>
          <w:kern w:val="14"/>
          <w:lang w:val="en-US" w:eastAsia="zh-CN"/>
        </w:rPr>
        <w:tab/>
      </w:r>
      <w:r w:rsidRPr="006676AA">
        <w:rPr>
          <w:spacing w:val="4"/>
          <w:w w:val="103"/>
          <w:kern w:val="14"/>
          <w:lang w:val="en-US" w:eastAsia="zh-CN"/>
        </w:rPr>
        <w:tab/>
        <w:t>10.</w:t>
      </w:r>
      <w:r w:rsidRPr="006676AA">
        <w:rPr>
          <w:spacing w:val="4"/>
          <w:w w:val="103"/>
          <w:kern w:val="14"/>
          <w:lang w:val="en-US" w:eastAsia="zh-CN"/>
        </w:rPr>
        <w:tab/>
        <w:t xml:space="preserve">Annex 1, Appendix 2, </w:t>
      </w:r>
      <w:r w:rsidRPr="006676AA">
        <w:rPr>
          <w:rFonts w:cs="Arial"/>
          <w:lang w:val="en-US"/>
        </w:rPr>
        <w:t>paragraph 7.3.3</w:t>
      </w:r>
    </w:p>
    <w:p w:rsidR="005024AA" w:rsidRPr="00F45DF4" w:rsidRDefault="005024AA" w:rsidP="005024AA">
      <w:pPr>
        <w:pStyle w:val="SingleTxtG"/>
        <w:rPr>
          <w:lang w:val="en-US"/>
        </w:rPr>
      </w:pPr>
      <w:r>
        <w:rPr>
          <w:lang w:val="en-US"/>
        </w:rPr>
        <w:t xml:space="preserve">Amend the definition of </w:t>
      </w:r>
      <w:proofErr w:type="spellStart"/>
      <w:r w:rsidRPr="004C7F4C">
        <w:rPr>
          <w:i/>
          <w:iCs/>
        </w:rPr>
        <w:t>S</w:t>
      </w:r>
      <w:r w:rsidRPr="004C7F4C">
        <w:rPr>
          <w:i/>
          <w:iCs/>
          <w:vertAlign w:val="subscript"/>
        </w:rPr>
        <w:t>bulk</w:t>
      </w:r>
      <w:proofErr w:type="spellEnd"/>
      <w:r>
        <w:rPr>
          <w:i/>
          <w:iCs/>
        </w:rPr>
        <w:t xml:space="preserve"> </w:t>
      </w:r>
      <w:r>
        <w:rPr>
          <w:lang w:val="en-US"/>
        </w:rPr>
        <w:t>to read as follows:</w:t>
      </w:r>
    </w:p>
    <w:p w:rsidR="005024AA" w:rsidRPr="00FB417C" w:rsidRDefault="005024AA" w:rsidP="005024AA">
      <w:pPr>
        <w:pStyle w:val="SingleTxtG"/>
      </w:pPr>
      <w:r>
        <w:t>"</w:t>
      </w:r>
      <w:proofErr w:type="spellStart"/>
      <w:r w:rsidRPr="00FB417C">
        <w:t>S</w:t>
      </w:r>
      <w:r w:rsidRPr="00FB417C">
        <w:rPr>
          <w:vertAlign w:val="subscript"/>
        </w:rPr>
        <w:t>bulk</w:t>
      </w:r>
      <w:proofErr w:type="spellEnd"/>
      <w:r w:rsidRPr="00FB417C">
        <w:t xml:space="preserve"> are the surface areas of the bulkheads,</w:t>
      </w:r>
      <w:r>
        <w:t>"</w:t>
      </w:r>
    </w:p>
    <w:p w:rsidR="005024AA" w:rsidRPr="006676AA" w:rsidRDefault="005024AA" w:rsidP="005024AA">
      <w:pPr>
        <w:pStyle w:val="SingleTxtG"/>
        <w:rPr>
          <w:i/>
          <w:lang w:val="en-US"/>
        </w:rPr>
      </w:pPr>
      <w:r w:rsidRPr="006676AA">
        <w:rPr>
          <w:i/>
          <w:lang w:val="en-US"/>
        </w:rPr>
        <w:t>(Reference document: ECE/TRANS/WP.11/2021/16)</w:t>
      </w:r>
    </w:p>
    <w:p w:rsidR="005024AA" w:rsidRPr="006676AA" w:rsidRDefault="005024AA" w:rsidP="005024AA">
      <w:pPr>
        <w:pStyle w:val="H23G"/>
        <w:rPr>
          <w:spacing w:val="4"/>
          <w:w w:val="103"/>
          <w:kern w:val="14"/>
          <w:lang w:val="en-US" w:eastAsia="zh-CN"/>
        </w:rPr>
      </w:pPr>
      <w:r w:rsidRPr="006676AA">
        <w:rPr>
          <w:spacing w:val="4"/>
          <w:w w:val="103"/>
          <w:kern w:val="14"/>
          <w:lang w:val="en-US" w:eastAsia="zh-CN"/>
        </w:rPr>
        <w:tab/>
      </w:r>
      <w:r w:rsidRPr="006676AA">
        <w:rPr>
          <w:spacing w:val="4"/>
          <w:w w:val="103"/>
          <w:kern w:val="14"/>
          <w:lang w:val="en-US" w:eastAsia="zh-CN"/>
        </w:rPr>
        <w:tab/>
      </w:r>
      <w:r w:rsidRPr="006676AA">
        <w:rPr>
          <w:spacing w:val="4"/>
          <w:w w:val="103"/>
          <w:kern w:val="14"/>
          <w:lang w:val="en-US" w:eastAsia="zh-CN"/>
        </w:rPr>
        <w:tab/>
        <w:t>11.</w:t>
      </w:r>
      <w:r w:rsidRPr="006676AA">
        <w:rPr>
          <w:spacing w:val="4"/>
          <w:w w:val="103"/>
          <w:kern w:val="14"/>
          <w:lang w:val="en-US" w:eastAsia="zh-CN"/>
        </w:rPr>
        <w:tab/>
        <w:t xml:space="preserve">Annex 1, Appendix 2, </w:t>
      </w:r>
      <w:r w:rsidRPr="006676AA">
        <w:rPr>
          <w:rFonts w:cs="Arial"/>
          <w:lang w:val="en-US"/>
        </w:rPr>
        <w:t>paragraph 7.3.4</w:t>
      </w:r>
    </w:p>
    <w:p w:rsidR="005024AA" w:rsidRDefault="005024AA" w:rsidP="005024AA">
      <w:pPr>
        <w:pStyle w:val="SingleTxtG"/>
        <w:spacing w:line="240" w:lineRule="auto"/>
        <w:rPr>
          <w:rFonts w:cs="Arial"/>
          <w:lang w:val="en-US"/>
        </w:rPr>
      </w:pPr>
      <w:r>
        <w:rPr>
          <w:rFonts w:cs="Arial"/>
          <w:lang w:val="en-US"/>
        </w:rPr>
        <w:t xml:space="preserve">Amend the definition of </w:t>
      </w:r>
      <w:proofErr w:type="spellStart"/>
      <w:r w:rsidRPr="00A33C68">
        <w:rPr>
          <w:rFonts w:cs="Arial"/>
          <w:i/>
          <w:iCs/>
          <w:lang w:val="en-US"/>
        </w:rPr>
        <w:t>S</w:t>
      </w:r>
      <w:r w:rsidRPr="00A33C68">
        <w:rPr>
          <w:rFonts w:cs="Arial"/>
          <w:i/>
          <w:iCs/>
          <w:vertAlign w:val="subscript"/>
          <w:lang w:val="en-US"/>
        </w:rPr>
        <w:t>frozen</w:t>
      </w:r>
      <w:proofErr w:type="spellEnd"/>
      <w:r w:rsidRPr="00A33C68">
        <w:rPr>
          <w:rFonts w:cs="Arial"/>
          <w:i/>
          <w:iCs/>
          <w:vertAlign w:val="subscript"/>
          <w:lang w:val="en-US"/>
        </w:rPr>
        <w:t>-comp</w:t>
      </w:r>
      <w:r>
        <w:rPr>
          <w:i/>
          <w:iCs/>
        </w:rPr>
        <w:t xml:space="preserve"> </w:t>
      </w:r>
      <w:r>
        <w:rPr>
          <w:rFonts w:cs="Arial"/>
          <w:lang w:val="en-US"/>
        </w:rPr>
        <w:t>to read as follows:</w:t>
      </w:r>
    </w:p>
    <w:p w:rsidR="005024AA" w:rsidRPr="008B71A5" w:rsidRDefault="005024AA" w:rsidP="005024AA">
      <w:pPr>
        <w:pStyle w:val="SingleTxtG"/>
        <w:spacing w:line="240" w:lineRule="auto"/>
        <w:rPr>
          <w:rFonts w:cs="Arial"/>
          <w:lang w:val="en-US"/>
        </w:rPr>
      </w:pPr>
      <w:r>
        <w:rPr>
          <w:lang w:val="en-US"/>
        </w:rPr>
        <w:t>"</w:t>
      </w:r>
      <w:proofErr w:type="spellStart"/>
      <w:r w:rsidRPr="008B71A5">
        <w:rPr>
          <w:rFonts w:cs="Arial"/>
          <w:lang w:val="en-US"/>
        </w:rPr>
        <w:t>S</w:t>
      </w:r>
      <w:r w:rsidRPr="00A33C68">
        <w:rPr>
          <w:rFonts w:cs="Arial"/>
          <w:vertAlign w:val="subscript"/>
          <w:lang w:val="en-US"/>
        </w:rPr>
        <w:t>frozen</w:t>
      </w:r>
      <w:proofErr w:type="spellEnd"/>
      <w:r w:rsidRPr="00A33C68">
        <w:rPr>
          <w:rFonts w:cs="Arial"/>
          <w:vertAlign w:val="subscript"/>
          <w:lang w:val="en-US"/>
        </w:rPr>
        <w:t>-comp</w:t>
      </w:r>
      <w:r w:rsidRPr="008B71A5">
        <w:rPr>
          <w:rFonts w:cs="Arial"/>
          <w:lang w:val="en-US"/>
        </w:rPr>
        <w:t xml:space="preserve"> is the inside surface area of the frozen compartment for the given positions of the bulkheads,</w:t>
      </w:r>
      <w:r>
        <w:rPr>
          <w:lang w:val="en-US"/>
        </w:rPr>
        <w:t>"</w:t>
      </w:r>
    </w:p>
    <w:p w:rsidR="005024AA" w:rsidRPr="006676AA" w:rsidRDefault="005024AA" w:rsidP="005024AA">
      <w:pPr>
        <w:pStyle w:val="SingleTxtG"/>
        <w:rPr>
          <w:i/>
          <w:lang w:val="en-US"/>
        </w:rPr>
      </w:pPr>
      <w:r w:rsidRPr="006676AA">
        <w:rPr>
          <w:i/>
          <w:lang w:val="en-US"/>
        </w:rPr>
        <w:t>(Reference document: ECE/TRANS/WP.11/2021/16)</w:t>
      </w:r>
    </w:p>
    <w:p w:rsidR="005024AA" w:rsidRPr="006676AA" w:rsidRDefault="005024AA" w:rsidP="005024AA">
      <w:pPr>
        <w:pStyle w:val="H23G"/>
        <w:rPr>
          <w:spacing w:val="4"/>
          <w:w w:val="103"/>
          <w:kern w:val="14"/>
          <w:lang w:val="en-US" w:eastAsia="zh-CN"/>
        </w:rPr>
      </w:pPr>
      <w:r w:rsidRPr="006676AA">
        <w:rPr>
          <w:spacing w:val="4"/>
          <w:w w:val="103"/>
          <w:kern w:val="14"/>
          <w:lang w:val="en-US" w:eastAsia="zh-CN"/>
        </w:rPr>
        <w:tab/>
      </w:r>
      <w:r w:rsidRPr="006676AA">
        <w:rPr>
          <w:spacing w:val="4"/>
          <w:w w:val="103"/>
          <w:kern w:val="14"/>
          <w:lang w:val="en-US" w:eastAsia="zh-CN"/>
        </w:rPr>
        <w:tab/>
      </w:r>
      <w:r w:rsidRPr="006676AA">
        <w:rPr>
          <w:spacing w:val="4"/>
          <w:w w:val="103"/>
          <w:kern w:val="14"/>
          <w:lang w:val="en-US" w:eastAsia="zh-CN"/>
        </w:rPr>
        <w:tab/>
        <w:t>12.</w:t>
      </w:r>
      <w:r w:rsidRPr="006676AA">
        <w:rPr>
          <w:spacing w:val="4"/>
          <w:w w:val="103"/>
          <w:kern w:val="14"/>
          <w:lang w:val="en-US" w:eastAsia="zh-CN"/>
        </w:rPr>
        <w:tab/>
        <w:t xml:space="preserve">Annex 1, Appendix 4, </w:t>
      </w:r>
      <w:r w:rsidRPr="006676AA">
        <w:rPr>
          <w:rFonts w:cs="Arial"/>
          <w:lang w:val="en-US"/>
        </w:rPr>
        <w:t>paragraph 7.3.4</w:t>
      </w:r>
    </w:p>
    <w:p w:rsidR="005024AA" w:rsidRDefault="005024AA" w:rsidP="005024AA">
      <w:pPr>
        <w:pStyle w:val="SingleTxtG"/>
        <w:spacing w:line="240" w:lineRule="auto"/>
        <w:rPr>
          <w:rFonts w:cs="Arial"/>
          <w:lang w:val="en-US"/>
        </w:rPr>
      </w:pPr>
      <w:r>
        <w:rPr>
          <w:rFonts w:cs="Arial"/>
          <w:lang w:val="en-US"/>
        </w:rPr>
        <w:t xml:space="preserve">Amend the definition of </w:t>
      </w:r>
      <w:proofErr w:type="spellStart"/>
      <w:r w:rsidRPr="004C7F4C">
        <w:rPr>
          <w:i/>
          <w:iCs/>
        </w:rPr>
        <w:t>S</w:t>
      </w:r>
      <w:r w:rsidRPr="004C7F4C">
        <w:rPr>
          <w:i/>
          <w:iCs/>
          <w:vertAlign w:val="subscript"/>
        </w:rPr>
        <w:t>bulk</w:t>
      </w:r>
      <w:proofErr w:type="spellEnd"/>
      <w:r>
        <w:rPr>
          <w:rFonts w:cs="Arial"/>
          <w:lang w:val="en-US"/>
        </w:rPr>
        <w:t xml:space="preserve"> to read as follows:</w:t>
      </w:r>
    </w:p>
    <w:p w:rsidR="005024AA" w:rsidRPr="008B71A5" w:rsidRDefault="005024AA" w:rsidP="005024AA">
      <w:pPr>
        <w:pStyle w:val="SingleTxtG"/>
        <w:spacing w:line="240" w:lineRule="auto"/>
        <w:rPr>
          <w:rFonts w:cs="Arial"/>
          <w:lang w:val="en-US"/>
        </w:rPr>
      </w:pPr>
      <w:r>
        <w:rPr>
          <w:lang w:val="en-US"/>
        </w:rPr>
        <w:t>"</w:t>
      </w:r>
      <w:proofErr w:type="spellStart"/>
      <w:r w:rsidRPr="008B71A5">
        <w:rPr>
          <w:rFonts w:cs="Arial"/>
          <w:lang w:val="en-US"/>
        </w:rPr>
        <w:t>S</w:t>
      </w:r>
      <w:r w:rsidRPr="00A33C68">
        <w:rPr>
          <w:rFonts w:cs="Arial"/>
          <w:vertAlign w:val="subscript"/>
          <w:lang w:val="en-US"/>
        </w:rPr>
        <w:t>bulk</w:t>
      </w:r>
      <w:proofErr w:type="spellEnd"/>
      <w:r w:rsidRPr="008B71A5">
        <w:rPr>
          <w:rFonts w:cs="Arial"/>
          <w:lang w:val="en-US"/>
        </w:rPr>
        <w:t xml:space="preserve"> are the surface areas of the bulkheads,</w:t>
      </w:r>
      <w:r>
        <w:rPr>
          <w:lang w:val="en-US"/>
        </w:rPr>
        <w:t>"</w:t>
      </w:r>
    </w:p>
    <w:p w:rsidR="005024AA" w:rsidRPr="00A33C68" w:rsidRDefault="005024AA" w:rsidP="005024AA">
      <w:pPr>
        <w:pStyle w:val="SingleTxtG"/>
        <w:rPr>
          <w:i/>
        </w:rPr>
      </w:pPr>
      <w:r w:rsidRPr="00A33C68">
        <w:rPr>
          <w:i/>
        </w:rPr>
        <w:t>(Reference document: ECE/TRANS/WP.11/2021/16)</w:t>
      </w:r>
    </w:p>
    <w:p w:rsidR="005024AA"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13</w:t>
      </w:r>
      <w:r w:rsidRPr="00D56B2E">
        <w:rPr>
          <w:spacing w:val="4"/>
          <w:w w:val="103"/>
          <w:kern w:val="14"/>
          <w:lang w:eastAsia="zh-CN"/>
        </w:rPr>
        <w:t>.</w:t>
      </w:r>
      <w:r w:rsidRPr="00D56B2E">
        <w:rPr>
          <w:spacing w:val="4"/>
          <w:w w:val="103"/>
          <w:kern w:val="14"/>
          <w:lang w:eastAsia="zh-CN"/>
        </w:rPr>
        <w:tab/>
      </w:r>
      <w:r w:rsidRPr="006B7466">
        <w:rPr>
          <w:spacing w:val="4"/>
          <w:w w:val="103"/>
          <w:kern w:val="14"/>
          <w:lang w:eastAsia="zh-CN"/>
        </w:rPr>
        <w:t xml:space="preserve">Annex 1, </w:t>
      </w:r>
      <w:r>
        <w:rPr>
          <w:spacing w:val="4"/>
          <w:w w:val="103"/>
          <w:kern w:val="14"/>
          <w:lang w:eastAsia="zh-CN"/>
        </w:rPr>
        <w:t>A</w:t>
      </w:r>
      <w:r w:rsidRPr="006B7466">
        <w:rPr>
          <w:spacing w:val="4"/>
          <w:w w:val="103"/>
          <w:kern w:val="14"/>
          <w:lang w:eastAsia="zh-CN"/>
        </w:rPr>
        <w:t xml:space="preserve">ppendix 2, section </w:t>
      </w:r>
      <w:r>
        <w:rPr>
          <w:spacing w:val="4"/>
          <w:w w:val="103"/>
          <w:kern w:val="14"/>
          <w:lang w:eastAsia="zh-CN"/>
        </w:rPr>
        <w:t>7.3.7</w:t>
      </w:r>
    </w:p>
    <w:p w:rsidR="005024AA" w:rsidRDefault="005024AA" w:rsidP="005024AA">
      <w:pPr>
        <w:pStyle w:val="SingleTxtG"/>
      </w:pPr>
      <w:r>
        <w:t>In the heading of the third column of the table replace "</w:t>
      </w:r>
      <w:r>
        <w:rPr>
          <w:i/>
          <w:iCs/>
        </w:rPr>
        <w:t>Removable"</w:t>
      </w:r>
      <w:r>
        <w:t xml:space="preserve"> by "</w:t>
      </w:r>
      <w:r>
        <w:rPr>
          <w:i/>
          <w:iCs/>
        </w:rPr>
        <w:t>Movable"</w:t>
      </w:r>
    </w:p>
    <w:p w:rsidR="005024AA" w:rsidRPr="005024AA" w:rsidRDefault="005024AA" w:rsidP="005024AA">
      <w:pPr>
        <w:ind w:left="567" w:firstLine="567"/>
        <w:rPr>
          <w:i/>
          <w:lang w:val="en-US"/>
        </w:rPr>
      </w:pPr>
      <w:r w:rsidRPr="005024AA">
        <w:rPr>
          <w:i/>
          <w:lang w:val="en-US"/>
        </w:rPr>
        <w:t>(Reference documents: ECE/TRANS/WP.11/2021/9 and ECE/TRANS/WP.11/2021/18)</w:t>
      </w:r>
    </w:p>
    <w:p w:rsidR="005024AA"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14</w:t>
      </w:r>
      <w:r w:rsidRPr="00D56B2E">
        <w:rPr>
          <w:spacing w:val="4"/>
          <w:w w:val="103"/>
          <w:kern w:val="14"/>
          <w:lang w:eastAsia="zh-CN"/>
        </w:rPr>
        <w:t>.</w:t>
      </w:r>
      <w:r w:rsidRPr="00D56B2E">
        <w:rPr>
          <w:spacing w:val="4"/>
          <w:w w:val="103"/>
          <w:kern w:val="14"/>
          <w:lang w:eastAsia="zh-CN"/>
        </w:rPr>
        <w:tab/>
      </w:r>
      <w:r w:rsidRPr="006B7466">
        <w:rPr>
          <w:spacing w:val="4"/>
          <w:w w:val="103"/>
          <w:kern w:val="14"/>
          <w:lang w:eastAsia="zh-CN"/>
        </w:rPr>
        <w:t xml:space="preserve">Annex 1, </w:t>
      </w:r>
      <w:r>
        <w:rPr>
          <w:spacing w:val="4"/>
          <w:w w:val="103"/>
          <w:kern w:val="14"/>
          <w:lang w:eastAsia="zh-CN"/>
        </w:rPr>
        <w:t>A</w:t>
      </w:r>
      <w:r w:rsidRPr="006B7466">
        <w:rPr>
          <w:spacing w:val="4"/>
          <w:w w:val="103"/>
          <w:kern w:val="14"/>
          <w:lang w:eastAsia="zh-CN"/>
        </w:rPr>
        <w:t xml:space="preserve">ppendix 2, section </w:t>
      </w:r>
      <w:r>
        <w:rPr>
          <w:spacing w:val="4"/>
          <w:w w:val="103"/>
          <w:kern w:val="14"/>
          <w:lang w:eastAsia="zh-CN"/>
        </w:rPr>
        <w:t>9.2.1</w:t>
      </w:r>
    </w:p>
    <w:p w:rsidR="005024AA" w:rsidRDefault="005024AA" w:rsidP="005024AA">
      <w:pPr>
        <w:pStyle w:val="SingleTxtG"/>
      </w:pPr>
      <w:r>
        <w:t>In the third paragraph, that starts with "</w:t>
      </w:r>
      <w:r>
        <w:rPr>
          <w:i/>
          <w:iCs/>
        </w:rPr>
        <w:t>For mono-temperature…</w:t>
      </w:r>
      <w:proofErr w:type="gramStart"/>
      <w:r>
        <w:rPr>
          <w:i/>
          <w:iCs/>
        </w:rPr>
        <w:t>"</w:t>
      </w:r>
      <w:r>
        <w:t>,</w:t>
      </w:r>
      <w:proofErr w:type="gramEnd"/>
      <w:r>
        <w:t xml:space="preserve"> add a last sentence to read: </w:t>
      </w:r>
    </w:p>
    <w:p w:rsidR="005024AA" w:rsidRDefault="005024AA" w:rsidP="005024AA">
      <w:pPr>
        <w:pStyle w:val="SingleTxtG"/>
      </w:pPr>
      <w:r>
        <w:t>"The cooling capacity obtained for the third temperature level may be calculated by the testing station on the basis of an interpolation based on the results obtained during tests carried out at the -20 °C and 0 °C temperature levels."</w:t>
      </w:r>
    </w:p>
    <w:p w:rsidR="005024AA" w:rsidRPr="00AA3CEA" w:rsidRDefault="005024AA" w:rsidP="005024AA">
      <w:pPr>
        <w:pStyle w:val="SingleTxtG"/>
        <w:rPr>
          <w:lang w:val="en-US"/>
        </w:rPr>
      </w:pPr>
      <w:r w:rsidRPr="0018140C">
        <w:rPr>
          <w:i/>
        </w:rPr>
        <w:t>(Reference document: ECE/TRANS/WP.11/2021/</w:t>
      </w:r>
      <w:r>
        <w:rPr>
          <w:i/>
        </w:rPr>
        <w:t>8</w:t>
      </w:r>
      <w:r w:rsidRPr="0018140C">
        <w:rPr>
          <w:i/>
        </w:rPr>
        <w:t>)</w:t>
      </w:r>
    </w:p>
    <w:p w:rsidR="005024AA" w:rsidRDefault="005024AA" w:rsidP="005024AA">
      <w:pPr>
        <w:pStyle w:val="H23G"/>
        <w:rPr>
          <w:spacing w:val="4"/>
          <w:w w:val="103"/>
          <w:kern w:val="14"/>
          <w:lang w:eastAsia="zh-CN"/>
        </w:rPr>
      </w:pPr>
      <w:r>
        <w:rPr>
          <w:spacing w:val="4"/>
          <w:w w:val="103"/>
          <w:kern w:val="14"/>
          <w:lang w:eastAsia="zh-CN"/>
        </w:rPr>
        <w:tab/>
      </w:r>
      <w:r>
        <w:rPr>
          <w:spacing w:val="4"/>
          <w:w w:val="103"/>
          <w:kern w:val="14"/>
          <w:lang w:eastAsia="zh-CN"/>
        </w:rPr>
        <w:tab/>
        <w:t>15</w:t>
      </w:r>
      <w:r w:rsidRPr="00D56B2E">
        <w:rPr>
          <w:spacing w:val="4"/>
          <w:w w:val="103"/>
          <w:kern w:val="14"/>
          <w:lang w:eastAsia="zh-CN"/>
        </w:rPr>
        <w:t>.</w:t>
      </w:r>
      <w:r w:rsidRPr="00D56B2E">
        <w:rPr>
          <w:spacing w:val="4"/>
          <w:w w:val="103"/>
          <w:kern w:val="14"/>
          <w:lang w:eastAsia="zh-CN"/>
        </w:rPr>
        <w:tab/>
      </w:r>
      <w:r w:rsidRPr="006B7466">
        <w:rPr>
          <w:spacing w:val="4"/>
          <w:w w:val="103"/>
          <w:kern w:val="14"/>
          <w:lang w:eastAsia="zh-CN"/>
        </w:rPr>
        <w:t xml:space="preserve">Annex 1, </w:t>
      </w:r>
      <w:r>
        <w:rPr>
          <w:spacing w:val="4"/>
          <w:w w:val="103"/>
          <w:kern w:val="14"/>
          <w:lang w:eastAsia="zh-CN"/>
        </w:rPr>
        <w:t>A</w:t>
      </w:r>
      <w:r w:rsidRPr="006B7466">
        <w:rPr>
          <w:spacing w:val="4"/>
          <w:w w:val="103"/>
          <w:kern w:val="14"/>
          <w:lang w:eastAsia="zh-CN"/>
        </w:rPr>
        <w:t xml:space="preserve">ppendix </w:t>
      </w:r>
      <w:r>
        <w:rPr>
          <w:spacing w:val="4"/>
          <w:w w:val="103"/>
          <w:kern w:val="14"/>
          <w:lang w:eastAsia="zh-CN"/>
        </w:rPr>
        <w:t>3 (A), footnote 4</w:t>
      </w:r>
    </w:p>
    <w:p w:rsidR="005024AA" w:rsidRPr="0079602F" w:rsidRDefault="005024AA" w:rsidP="005024AA">
      <w:pPr>
        <w:pStyle w:val="SingleTxtG"/>
      </w:pPr>
      <w:r>
        <w:t>Amend footnote 4 to read as follows:</w:t>
      </w:r>
    </w:p>
    <w:p w:rsidR="005024AA" w:rsidRDefault="005024AA" w:rsidP="005024AA">
      <w:pPr>
        <w:pStyle w:val="SingleTxtG"/>
        <w:rPr>
          <w:i/>
          <w:iCs/>
        </w:rPr>
      </w:pPr>
      <w:r>
        <w:rPr>
          <w:i/>
          <w:iCs/>
        </w:rPr>
        <w:t>"</w:t>
      </w:r>
      <w:r w:rsidRPr="007C39D4">
        <w:rPr>
          <w:i/>
          <w:iCs/>
        </w:rPr>
        <w:t>4.</w:t>
      </w:r>
      <w:r w:rsidRPr="007C39D4">
        <w:rPr>
          <w:i/>
          <w:iCs/>
        </w:rPr>
        <w:tab/>
        <w:t>Multi-temperature equipment is insulated equipment with two or more compartments for different temperatures in each compartment.</w:t>
      </w:r>
      <w:r>
        <w:rPr>
          <w:i/>
          <w:iCs/>
        </w:rPr>
        <w:t xml:space="preserve"> </w:t>
      </w:r>
      <w:r w:rsidRPr="00CA5D04">
        <w:rPr>
          <w:i/>
          <w:iCs/>
        </w:rPr>
        <w:t>For multi-temperature equipment a declaration of conformity (see 7.3.6 of annex 1, appendix 2) shall be carried in addition to the ATP certificate.</w:t>
      </w:r>
      <w:r>
        <w:rPr>
          <w:i/>
          <w:iCs/>
        </w:rPr>
        <w:t>"</w:t>
      </w:r>
    </w:p>
    <w:p w:rsidR="005024AA" w:rsidRDefault="005024AA" w:rsidP="005024AA">
      <w:pPr>
        <w:pStyle w:val="SingleTxtG"/>
        <w:rPr>
          <w:i/>
          <w:iCs/>
        </w:rPr>
      </w:pPr>
      <w:r w:rsidRPr="000D6EC4">
        <w:rPr>
          <w:i/>
          <w:iCs/>
        </w:rPr>
        <w:t>(Reference document: ECE/TRANS/WP.11/2021/18)</w:t>
      </w:r>
    </w:p>
    <w:p w:rsidR="005024AA" w:rsidRPr="0032752D" w:rsidRDefault="005024AA" w:rsidP="005024AA">
      <w:pPr>
        <w:spacing w:before="240"/>
        <w:jc w:val="center"/>
        <w:rPr>
          <w:u w:val="single"/>
          <w:lang w:val="en-US"/>
        </w:rPr>
      </w:pPr>
      <w:r>
        <w:rPr>
          <w:u w:val="single"/>
          <w:lang w:val="en-US"/>
        </w:rPr>
        <w:lastRenderedPageBreak/>
        <w:tab/>
      </w:r>
      <w:r>
        <w:rPr>
          <w:u w:val="single"/>
          <w:lang w:val="en-US"/>
        </w:rPr>
        <w:tab/>
      </w:r>
      <w:r>
        <w:rPr>
          <w:u w:val="single"/>
          <w:lang w:val="en-US"/>
        </w:rPr>
        <w:tab/>
      </w:r>
    </w:p>
    <w:p w:rsidR="005024AA" w:rsidRPr="005024AA" w:rsidRDefault="005024AA" w:rsidP="005024AA">
      <w:pPr>
        <w:pStyle w:val="SingleTxtG"/>
        <w:rPr>
          <w:lang w:val="en-US"/>
        </w:rPr>
      </w:pPr>
    </w:p>
    <w:p w:rsidR="005024AA" w:rsidRDefault="005024AA">
      <w:pPr>
        <w:rPr>
          <w:lang w:val="en-GB"/>
        </w:rPr>
      </w:pPr>
    </w:p>
    <w:p w:rsidR="005024AA" w:rsidRPr="005024AA" w:rsidRDefault="005024AA">
      <w:pPr>
        <w:rPr>
          <w:lang w:val="en-GB"/>
        </w:rPr>
      </w:pPr>
    </w:p>
    <w:p w:rsidR="005024AA" w:rsidRPr="005024AA" w:rsidRDefault="005024AA">
      <w:pPr>
        <w:rPr>
          <w:lang w:val="en-US"/>
        </w:rPr>
      </w:pPr>
    </w:p>
    <w:sectPr w:rsidR="005024AA" w:rsidRPr="005024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AA"/>
    <w:rsid w:val="002A5FAB"/>
    <w:rsid w:val="005024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FC8F"/>
  <w15:chartTrackingRefBased/>
  <w15:docId w15:val="{4BC4695E-A4D8-4731-8E90-D0C85620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ngleTxtG">
    <w:name w:val="_ Single Txt_G"/>
    <w:basedOn w:val="Normaali"/>
    <w:link w:val="SingleTxtGChar"/>
    <w:qFormat/>
    <w:rsid w:val="005024AA"/>
    <w:pPr>
      <w:suppressAutoHyphens/>
      <w:spacing w:after="120" w:line="240" w:lineRule="atLeast"/>
      <w:ind w:left="1134" w:right="1134"/>
      <w:jc w:val="both"/>
    </w:pPr>
    <w:rPr>
      <w:rFonts w:ascii="Times New Roman" w:eastAsia="Times New Roman" w:hAnsi="Times New Roman" w:cs="Times New Roman"/>
      <w:sz w:val="20"/>
      <w:szCs w:val="20"/>
      <w:lang w:val="en-GB" w:eastAsia="fr-FR"/>
    </w:rPr>
  </w:style>
  <w:style w:type="character" w:customStyle="1" w:styleId="SingleTxtGChar">
    <w:name w:val="_ Single Txt_G Char"/>
    <w:link w:val="SingleTxtG"/>
    <w:qFormat/>
    <w:locked/>
    <w:rsid w:val="005024AA"/>
    <w:rPr>
      <w:rFonts w:ascii="Times New Roman" w:eastAsia="Times New Roman" w:hAnsi="Times New Roman" w:cs="Times New Roman"/>
      <w:sz w:val="20"/>
      <w:szCs w:val="20"/>
      <w:lang w:val="en-GB" w:eastAsia="fr-FR"/>
    </w:rPr>
  </w:style>
  <w:style w:type="paragraph" w:customStyle="1" w:styleId="HChG">
    <w:name w:val="_ H _Ch_G"/>
    <w:basedOn w:val="Normaali"/>
    <w:next w:val="Normaali"/>
    <w:link w:val="HChGChar"/>
    <w:qFormat/>
    <w:rsid w:val="005024AA"/>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fr-FR"/>
    </w:rPr>
  </w:style>
  <w:style w:type="paragraph" w:customStyle="1" w:styleId="H23G">
    <w:name w:val="_ H_2/3_G"/>
    <w:basedOn w:val="Normaali"/>
    <w:next w:val="Normaali"/>
    <w:link w:val="H23GChar"/>
    <w:qFormat/>
    <w:rsid w:val="005024AA"/>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eastAsia="fr-FR"/>
    </w:rPr>
  </w:style>
  <w:style w:type="table" w:styleId="TaulukkoRuudukko">
    <w:name w:val="Table Grid"/>
    <w:basedOn w:val="Normaalitaulukko"/>
    <w:rsid w:val="005024AA"/>
    <w:pPr>
      <w:suppressAutoHyphens/>
      <w:spacing w:after="0" w:line="240" w:lineRule="atLeas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5024AA"/>
    <w:rPr>
      <w:rFonts w:ascii="Times New Roman" w:eastAsia="Times New Roman" w:hAnsi="Times New Roman" w:cs="Times New Roman"/>
      <w:b/>
      <w:sz w:val="28"/>
      <w:szCs w:val="20"/>
      <w:lang w:val="en-GB" w:eastAsia="fr-FR"/>
    </w:rPr>
  </w:style>
  <w:style w:type="character" w:customStyle="1" w:styleId="H23GChar">
    <w:name w:val="_ H_2/3_G Char"/>
    <w:link w:val="H23G"/>
    <w:rsid w:val="005024AA"/>
    <w:rPr>
      <w:rFonts w:ascii="Times New Roman" w:eastAsia="Times New Roman" w:hAnsi="Times New Roman" w:cs="Times New Roman"/>
      <w:b/>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6477</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Hannu (MMM)</dc:creator>
  <cp:keywords/>
  <dc:description/>
  <cp:lastModifiedBy>Miettinen Hannu (MMM)</cp:lastModifiedBy>
  <cp:revision>1</cp:revision>
  <dcterms:created xsi:type="dcterms:W3CDTF">2023-03-08T11:37:00Z</dcterms:created>
  <dcterms:modified xsi:type="dcterms:W3CDTF">2023-03-08T11:39:00Z</dcterms:modified>
</cp:coreProperties>
</file>