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4AA" w:rsidRDefault="005024AA" w:rsidP="005024AA">
      <w:pPr>
        <w:pStyle w:val="SingleTxtG"/>
      </w:pPr>
      <w:r>
        <w:t>Det 77:e mötet för arbetsgruppen för transport av lättfördärvliga livsmedel den 26–29 oktober 2021</w:t>
      </w:r>
    </w:p>
    <w:p w:rsidR="005024AA" w:rsidRDefault="005024AA" w:rsidP="005024AA">
      <w:pPr>
        <w:pStyle w:val="SingleTxtG"/>
      </w:pPr>
    </w:p>
    <w:p w:rsidR="005024AA" w:rsidRDefault="005024AA" w:rsidP="005024AA">
      <w:pPr>
        <w:pStyle w:val="HChG"/>
        <w:ind w:left="0" w:firstLine="0"/>
      </w:pPr>
      <w:r>
        <w:t>Bilaga</w:t>
      </w:r>
    </w:p>
    <w:p w:rsidR="005024AA" w:rsidRPr="005024AA" w:rsidRDefault="005024AA" w:rsidP="005024AA">
      <w:pPr>
        <w:jc w:val="right"/>
      </w:pPr>
      <w:r>
        <w:t>[Originalspråk: engelska och franska]</w:t>
      </w:r>
    </w:p>
    <w:p w:rsidR="005024AA" w:rsidRPr="007646B7" w:rsidRDefault="005024AA" w:rsidP="005024AA">
      <w:pPr>
        <w:pStyle w:val="HChG"/>
      </w:pPr>
      <w:r>
        <w:rPr>
          <w:b w:val="0"/>
        </w:rPr>
        <w:tab/>
      </w:r>
      <w:r>
        <w:rPr>
          <w:b w:val="0"/>
        </w:rPr>
        <w:tab/>
      </w:r>
      <w:r>
        <w:t>Föreslagna ändringar i ATP-överenskommelsen</w:t>
      </w:r>
    </w:p>
    <w:p w:rsidR="005024AA" w:rsidRDefault="005024AA" w:rsidP="00E667C0">
      <w:pPr>
        <w:pStyle w:val="H23G"/>
        <w:numPr>
          <w:ilvl w:val="0"/>
          <w:numId w:val="1"/>
        </w:numPr>
        <w:rPr>
          <w:spacing w:val="4"/>
          <w:w w:val="103"/>
          <w:kern w:val="14"/>
        </w:rPr>
      </w:pPr>
      <w:r>
        <w:t>Bilaga 1, tillägg 2, punkt 1.2</w:t>
      </w:r>
    </w:p>
    <w:p w:rsidR="005024AA" w:rsidRDefault="005024AA" w:rsidP="005024AA">
      <w:pPr>
        <w:pStyle w:val="SingleTxtG"/>
      </w:pPr>
      <w:r>
        <w:t>Tredje stycket ändras och får följande lydelse:</w:t>
      </w:r>
    </w:p>
    <w:p w:rsidR="005024AA" w:rsidRDefault="005024AA" w:rsidP="005024AA">
      <w:pPr>
        <w:pStyle w:val="SingleTxtG"/>
        <w:rPr>
          <w:u w:val="single"/>
        </w:rPr>
      </w:pPr>
      <w:r>
        <w:t>”För att beräkna den genomsnittliga ytan av en skåpbils karosseri skall en provningsstation som utsetts av den behöriga myndigheten välja en av de följande tre metoderna A–C. För att beräkna den genomsnittliga ytan av en tank får den provningsstation som utsetts av den behöriga myndigheten använda metod A eller D.”</w:t>
      </w:r>
    </w:p>
    <w:p w:rsidR="005024AA" w:rsidRPr="00791C25" w:rsidRDefault="005024AA" w:rsidP="005024AA">
      <w:pPr>
        <w:pStyle w:val="SingleTxtG"/>
        <w:rPr>
          <w:i/>
        </w:rPr>
      </w:pPr>
      <w:r>
        <w:rPr>
          <w:i/>
        </w:rPr>
        <w:t>(Referensdokument: ECE/TRANS/WP.11/2021/4 med ändringar)</w:t>
      </w:r>
    </w:p>
    <w:p w:rsidR="005024AA" w:rsidRPr="00D40020" w:rsidRDefault="005024AA" w:rsidP="00E667C0">
      <w:pPr>
        <w:pStyle w:val="H23G"/>
        <w:numPr>
          <w:ilvl w:val="0"/>
          <w:numId w:val="1"/>
        </w:numPr>
        <w:rPr>
          <w:spacing w:val="4"/>
          <w:w w:val="103"/>
          <w:kern w:val="14"/>
        </w:rPr>
      </w:pPr>
      <w:r>
        <w:t>Bilaga 1, tillägg 2, punkt 1.2</w:t>
      </w:r>
    </w:p>
    <w:p w:rsidR="005024AA" w:rsidRPr="00FE0AF5" w:rsidRDefault="005024AA" w:rsidP="005024AA">
      <w:pPr>
        <w:pStyle w:val="SingleTxtG"/>
      </w:pPr>
      <w:r>
        <w:t>De tre sista styckena (metod C) ändras och får följande lydelse:</w:t>
      </w:r>
    </w:p>
    <w:p w:rsidR="005024AA" w:rsidRPr="001F639D" w:rsidRDefault="005024AA" w:rsidP="005024AA">
      <w:pPr>
        <w:pStyle w:val="SingleTxtG"/>
      </w:pPr>
      <w:r>
        <w:t>” Metod C. Om experter inte godkänner metoderna A och B, skall skåpbilens inre yta mätas med hjälp av sifforna och formlerna enligt metod B.</w:t>
      </w:r>
    </w:p>
    <w:p w:rsidR="005024AA" w:rsidRPr="001F639D" w:rsidRDefault="005024AA" w:rsidP="005024AA">
      <w:pPr>
        <w:pStyle w:val="SingleTxtG"/>
      </w:pPr>
      <w:r>
        <w:t>Därefter beräknas den initiala K-koefficienten på basis av den inre ytan och iterationen inleds med antagandet att isoleringens tjocklek är 0. Utifrån denna K-koefficient beräknas isoleringens genomsnittliga tjocklek med antagandet att isoleringens λ-värde är 0,025 W/m·ºC.</w:t>
      </w:r>
    </w:p>
    <w:p w:rsidR="005024AA" w:rsidRPr="001F639D" w:rsidRDefault="005024AA" w:rsidP="005024AA">
      <w:pPr>
        <w:pStyle w:val="SingleTxtG"/>
      </w:pPr>
      <m:oMathPara>
        <m:oMath>
          <m:r>
            <w:rPr>
              <w:rFonts w:ascii="Cambria Math" w:hAnsi="Cambria Math"/>
            </w:rPr>
            <m:t>d=</m:t>
          </m:r>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 xml:space="preserve"> x ∆T x λ /W</m:t>
          </m:r>
        </m:oMath>
      </m:oMathPara>
    </w:p>
    <w:p w:rsidR="005024AA" w:rsidRPr="001F639D" w:rsidRDefault="005024AA" w:rsidP="005024AA">
      <w:pPr>
        <w:pStyle w:val="SingleTxtG"/>
      </w:pPr>
      <w:r>
        <w:t>När isoleringens tjocklek har uppskattats, beräknas den yttre ytan och fastställs den genomsnittliga ytan. Den slutliga K-koefficienten härleds genom successiv iteration.”</w:t>
      </w:r>
    </w:p>
    <w:p w:rsidR="005024AA" w:rsidRDefault="005024AA" w:rsidP="005024AA">
      <w:pPr>
        <w:pStyle w:val="SingleTxtG"/>
        <w:rPr>
          <w:i/>
        </w:rPr>
      </w:pPr>
      <w:r>
        <w:rPr>
          <w:i/>
        </w:rPr>
        <w:t>(Referensdokument: ECE/TRANS/WP.11/2021/4)</w:t>
      </w:r>
    </w:p>
    <w:p w:rsidR="005024AA" w:rsidRDefault="005024AA" w:rsidP="00E667C0">
      <w:pPr>
        <w:pStyle w:val="H23G"/>
        <w:numPr>
          <w:ilvl w:val="0"/>
          <w:numId w:val="1"/>
        </w:numPr>
        <w:rPr>
          <w:spacing w:val="4"/>
          <w:w w:val="103"/>
          <w:kern w:val="14"/>
        </w:rPr>
      </w:pPr>
      <w:r>
        <w:t>Bilaga 1, tillägg 2, punkt 1.2, Metod C</w:t>
      </w:r>
    </w:p>
    <w:p w:rsidR="005024AA" w:rsidRDefault="005024AA" w:rsidP="005024AA">
      <w:pPr>
        <w:pStyle w:val="SingleTxtG"/>
        <w:rPr>
          <w:iCs/>
        </w:rPr>
      </w:pPr>
      <w:r>
        <w:t xml:space="preserve">Till punkten fogas ett nytt sista stycke med följande lydelse: </w:t>
      </w:r>
    </w:p>
    <w:p w:rsidR="005024AA" w:rsidRPr="00A11E25" w:rsidRDefault="005024AA" w:rsidP="005024AA">
      <w:pPr>
        <w:pStyle w:val="SingleTxtG"/>
        <w:rPr>
          <w:iCs/>
        </w:rPr>
      </w:pPr>
      <w:r>
        <w:t>”I denna metod får ett annat λ-värde användas, om det faktiska λ-värdet kan bedömas med hjälp av fysikaliska mätningar av egenskaperna hos väggens huvudsakliga värmeisolator eller med hjälp av statistiska data från andra ATP-enheter med liknande egenskaper.  λ-värdet och, i förekommande fall, de statistiska data som använts, skall anges i provningsrapport Modell 1 A eller fogas till det.”</w:t>
      </w:r>
    </w:p>
    <w:p w:rsidR="005024AA" w:rsidRPr="0018140C" w:rsidRDefault="005024AA" w:rsidP="005024AA">
      <w:pPr>
        <w:pStyle w:val="SingleTxtG"/>
        <w:rPr>
          <w:i/>
        </w:rPr>
      </w:pPr>
      <w:r>
        <w:rPr>
          <w:i/>
        </w:rPr>
        <w:t>(Referensdokument: ECE/TRANS/WP.11/2021/3 med ändringar)</w:t>
      </w:r>
    </w:p>
    <w:p w:rsidR="005024AA" w:rsidRPr="00A572D9" w:rsidRDefault="005024AA" w:rsidP="005024AA">
      <w:pPr>
        <w:pStyle w:val="H23G"/>
        <w:rPr>
          <w:spacing w:val="4"/>
          <w:w w:val="103"/>
          <w:kern w:val="14"/>
        </w:rPr>
      </w:pPr>
      <w:r>
        <w:rPr>
          <w:b w:val="0"/>
        </w:rPr>
        <w:tab/>
      </w:r>
      <w:r>
        <w:rPr>
          <w:b w:val="0"/>
        </w:rPr>
        <w:tab/>
      </w:r>
      <w:r>
        <w:t>4.</w:t>
      </w:r>
      <w:r>
        <w:tab/>
      </w:r>
      <w:r w:rsidR="00E667C0">
        <w:tab/>
      </w:r>
      <w:r>
        <w:t>Bilaga 1, tillägg 2, punkt 1.2</w:t>
      </w:r>
    </w:p>
    <w:p w:rsidR="005024AA" w:rsidRDefault="005024AA" w:rsidP="005024AA">
      <w:pPr>
        <w:pStyle w:val="SingleTxtG"/>
      </w:pPr>
      <w:r>
        <w:t>Följande text införs efter sista stycket:</w:t>
      </w:r>
    </w:p>
    <w:p w:rsidR="005024AA" w:rsidRPr="00A572D9" w:rsidRDefault="005024AA" w:rsidP="005024AA">
      <w:pPr>
        <w:pStyle w:val="SingleTxtG"/>
      </w:pPr>
      <w:r>
        <w:t>”Metod D. Om experterna inte godkänner metod A skall tankens yttre yta mätas med beaktande av tankens geometriska form och de viktigaste värden som krävs för att modellera denna form (t.ex. diameter, radie, cylinderlängd osv.). Denna metod kan användas endast om tanken kan likställas med regelbundna geometriska former (cylinder, kon, klot) som kan beskrivas med hjälp av matematiska ekvationer.</w:t>
      </w:r>
    </w:p>
    <w:p w:rsidR="005024AA" w:rsidRPr="00A572D9" w:rsidRDefault="005024AA" w:rsidP="005024AA">
      <w:pPr>
        <w:pStyle w:val="SingleTxtG"/>
      </w:pPr>
      <w:r>
        <w:lastRenderedPageBreak/>
        <w:t>Därefter beräknas den initiala K-koefficienten på basis av den yttre ytan och iterationen inleds med antagandet att isoleringens tjocklek är 0. Utifrån denna K-koefficient beräknas isoleringens genomsnittliga tjocklek med antagandet att isoleringens λ-värde är 0,035 W/m·ºC.</w:t>
      </w:r>
    </w:p>
    <w:p w:rsidR="005024AA" w:rsidRPr="00A572D9" w:rsidRDefault="005024AA" w:rsidP="005024AA">
      <w:pPr>
        <w:pStyle w:val="SingleTxtG"/>
      </w:pPr>
      <m:oMathPara>
        <m:oMath>
          <m:r>
            <w:rPr>
              <w:rFonts w:ascii="Cambria Math" w:hAnsi="Cambria Math"/>
            </w:rPr>
            <m:t>d=</m:t>
          </m:r>
          <m:sSub>
            <m:sSubPr>
              <m:ctrlPr>
                <w:rPr>
                  <w:rFonts w:ascii="Cambria Math" w:hAnsi="Cambria Math"/>
                  <w:i/>
                </w:rPr>
              </m:ctrlPr>
            </m:sSubPr>
            <m:e>
              <m:r>
                <w:rPr>
                  <w:rFonts w:ascii="Cambria Math" w:hAnsi="Cambria Math"/>
                </w:rPr>
                <m:t>S</m:t>
              </m:r>
            </m:e>
            <m:sub>
              <m:r>
                <w:rPr>
                  <w:rFonts w:ascii="Cambria Math" w:hAnsi="Cambria Math"/>
                </w:rPr>
                <m:t>e</m:t>
              </m:r>
            </m:sub>
          </m:sSub>
          <m:r>
            <w:rPr>
              <w:rFonts w:ascii="Cambria Math" w:hAnsi="Cambria Math"/>
            </w:rPr>
            <m:t xml:space="preserve"> x ∆T x λ /W</m:t>
          </m:r>
        </m:oMath>
      </m:oMathPara>
    </w:p>
    <w:p w:rsidR="005024AA" w:rsidRPr="00A572D9" w:rsidRDefault="005024AA" w:rsidP="005024AA">
      <w:pPr>
        <w:pStyle w:val="SingleTxtG"/>
      </w:pPr>
      <w:r>
        <w:t>När isoleringens tjocklek har uppskattats, beräknas den inre ytan med beaktande av tankens geometriska form och den genomsnittliga ytan fastställs. Den slutliga K-koefficienten härleds genom successiv iteration.”</w:t>
      </w:r>
    </w:p>
    <w:p w:rsidR="005024AA" w:rsidRPr="00A9679D" w:rsidRDefault="005024AA" w:rsidP="005024AA">
      <w:pPr>
        <w:pStyle w:val="SingleTxtG"/>
        <w:rPr>
          <w:u w:val="single"/>
        </w:rPr>
      </w:pPr>
      <w:r>
        <w:t>”I denna metod får ett annat λ-värde användas, om det faktiska λ-värdet kan bedömas med hjälp av fysikaliska mätningar av egenskaperna hos väggens huvudsakliga värmeisolator eller med hjälp av statistiska data från andra ATP-enheter med liknande egenskaper.  λ-värdet och, i förekommande fall, de statistiska data som använts, skall anges i provningsrapport Modell 1 A eller fogas till det.”</w:t>
      </w:r>
    </w:p>
    <w:p w:rsidR="005024AA" w:rsidRPr="00791C25" w:rsidRDefault="005024AA" w:rsidP="005024AA">
      <w:pPr>
        <w:pStyle w:val="SingleTxtG"/>
        <w:rPr>
          <w:i/>
        </w:rPr>
      </w:pPr>
      <w:r>
        <w:rPr>
          <w:i/>
        </w:rPr>
        <w:t>(Referensdokument: ECE/TRANS/WP.11/2021/4 med ändringar)</w:t>
      </w:r>
    </w:p>
    <w:p w:rsidR="005024AA" w:rsidRPr="00DC1BB2" w:rsidRDefault="00E667C0" w:rsidP="00E667C0">
      <w:pPr>
        <w:pStyle w:val="H23G"/>
        <w:rPr>
          <w:b w:val="0"/>
          <w:bCs/>
          <w:highlight w:val="yellow"/>
        </w:rPr>
      </w:pPr>
      <w:r w:rsidRPr="00E667C0">
        <w:rPr>
          <w:b w:val="0"/>
        </w:rPr>
        <w:tab/>
      </w:r>
      <w:r w:rsidRPr="00E667C0">
        <w:rPr>
          <w:b w:val="0"/>
        </w:rPr>
        <w:tab/>
      </w:r>
      <w:r>
        <w:t>5.</w:t>
      </w:r>
      <w:r>
        <w:tab/>
      </w:r>
      <w:r>
        <w:tab/>
      </w:r>
      <w:r w:rsidR="005024AA">
        <w:t>Bilaga 1, tillägg 2, punkt 4.5.2</w:t>
      </w:r>
    </w:p>
    <w:p w:rsidR="005024AA" w:rsidRDefault="005024AA" w:rsidP="005024AA">
      <w:pPr>
        <w:pStyle w:val="SingleTxtG"/>
      </w:pPr>
      <w:r>
        <w:t xml:space="preserve">Formeln </w:t>
      </w:r>
      <m:oMath>
        <m:r>
          <w:rPr>
            <w:rFonts w:ascii="Cambria Math" w:hAnsi="Cambria Math"/>
          </w:rPr>
          <m:t>"</m:t>
        </m:r>
        <m:f>
          <m:fPr>
            <m:ctrlPr>
              <w:rPr>
                <w:rFonts w:ascii="Cambria Math" w:hAnsi="Cambria Math"/>
                <w:i/>
                <w:iCs/>
              </w:rPr>
            </m:ctrlPr>
          </m:fPr>
          <m:num>
            <m:sSub>
              <m:sSubPr>
                <m:ctrlPr>
                  <w:rPr>
                    <w:rFonts w:ascii="Cambria Math" w:hAnsi="Cambria Math"/>
                    <w:i/>
                    <w:iCs/>
                  </w:rPr>
                </m:ctrlPr>
              </m:sSubPr>
              <m:e>
                <m:r>
                  <w:rPr>
                    <w:rFonts w:ascii="Cambria Math" w:hAnsi="Cambria Math"/>
                  </w:rPr>
                  <m:t>Q</m:t>
                </m:r>
              </m:e>
              <m:sub>
                <m:r>
                  <w:rPr>
                    <w:rFonts w:ascii="Cambria Math" w:hAnsi="Cambria Math"/>
                  </w:rPr>
                  <m:t>mod</m:t>
                </m:r>
              </m:sub>
            </m:sSub>
            <m:r>
              <w:rPr>
                <w:rFonts w:ascii="Cambria Math" w:hAnsi="Cambria Math"/>
              </w:rPr>
              <m:t>-</m:t>
            </m:r>
            <m:sSub>
              <m:sSubPr>
                <m:ctrlPr>
                  <w:rPr>
                    <w:rFonts w:ascii="Cambria Math" w:hAnsi="Cambria Math"/>
                    <w:i/>
                    <w:iCs/>
                  </w:rPr>
                </m:ctrlPr>
              </m:sSubPr>
              <m:e>
                <m:r>
                  <w:rPr>
                    <w:rFonts w:ascii="Cambria Math" w:hAnsi="Cambria Math"/>
                  </w:rPr>
                  <m:t>Q</m:t>
                </m:r>
              </m:e>
              <m:sub>
                <m:r>
                  <w:rPr>
                    <w:rFonts w:ascii="Cambria Math" w:hAnsi="Cambria Math"/>
                  </w:rPr>
                  <m:t>Ref</m:t>
                </m:r>
              </m:sub>
            </m:sSub>
            <m:r>
              <m:rPr>
                <m:sty m:val="p"/>
              </m:rPr>
              <w:rPr>
                <w:rFonts w:ascii="Cambria Math" w:hAnsi="Cambria Math"/>
              </w:rPr>
              <m:t xml:space="preserve"> </m:t>
            </m:r>
          </m:num>
          <m:den>
            <m:sSub>
              <m:sSubPr>
                <m:ctrlPr>
                  <w:rPr>
                    <w:rFonts w:ascii="Cambria Math" w:hAnsi="Cambria Math"/>
                    <w:i/>
                    <w:iCs/>
                  </w:rPr>
                </m:ctrlPr>
              </m:sSubPr>
              <m:e>
                <m:r>
                  <w:rPr>
                    <w:rFonts w:ascii="Cambria Math" w:hAnsi="Cambria Math"/>
                  </w:rPr>
                  <m:t>Q</m:t>
                </m:r>
              </m:e>
              <m:sub>
                <m:r>
                  <w:rPr>
                    <w:rFonts w:ascii="Cambria Math" w:hAnsi="Cambria Math"/>
                  </w:rPr>
                  <m:t>ref</m:t>
                </m:r>
              </m:sub>
            </m:sSub>
          </m:den>
        </m:f>
        <m:r>
          <w:rPr>
            <w:rFonts w:ascii="Cambria Math" w:hAnsi="Cambria Math"/>
          </w:rPr>
          <m:t>≥-0,10</m:t>
        </m:r>
      </m:oMath>
      <w:r>
        <w:t xml:space="preserve"> (1)</w:t>
      </w:r>
      <m:oMath>
        <m:r>
          <w:rPr>
            <w:rFonts w:ascii="Cambria Math" w:hAnsi="Cambria Math"/>
          </w:rPr>
          <m:t xml:space="preserve"> </m:t>
        </m:r>
        <m:r>
          <w:rPr>
            <w:rFonts w:ascii="Cambria Math" w:hAnsi="Cambria Math"/>
          </w:rPr>
          <m:t>"</m:t>
        </m:r>
      </m:oMath>
      <w:r>
        <w:t xml:space="preserve"> ersätts med formeln </w:t>
      </w:r>
      <m:oMath>
        <m:r>
          <w:rPr>
            <w:rFonts w:ascii="Cambria Math" w:hAnsi="Cambria Math"/>
          </w:rPr>
          <m:t>"</m:t>
        </m:r>
        <m:f>
          <m:fPr>
            <m:ctrlPr>
              <w:rPr>
                <w:rFonts w:ascii="Cambria Math" w:hAnsi="Cambria Math"/>
                <w:i/>
                <w:iCs/>
              </w:rPr>
            </m:ctrlPr>
          </m:fPr>
          <m:num>
            <m:sSub>
              <m:sSubPr>
                <m:ctrlPr>
                  <w:rPr>
                    <w:rFonts w:ascii="Cambria Math" w:hAnsi="Cambria Math"/>
                    <w:i/>
                    <w:iCs/>
                  </w:rPr>
                </m:ctrlPr>
              </m:sSubPr>
              <m:e>
                <m:r>
                  <w:rPr>
                    <w:rFonts w:ascii="Cambria Math" w:hAnsi="Cambria Math"/>
                  </w:rPr>
                  <m:t>Q</m:t>
                </m:r>
              </m:e>
              <m:sub>
                <m:r>
                  <w:rPr>
                    <w:rFonts w:ascii="Cambria Math" w:hAnsi="Cambria Math"/>
                  </w:rPr>
                  <m:t>mod</m:t>
                </m:r>
              </m:sub>
            </m:sSub>
            <m:r>
              <w:rPr>
                <w:rFonts w:ascii="Cambria Math" w:hAnsi="Cambria Math"/>
              </w:rPr>
              <m:t>-</m:t>
            </m:r>
            <m:sSub>
              <m:sSubPr>
                <m:ctrlPr>
                  <w:rPr>
                    <w:rFonts w:ascii="Cambria Math" w:hAnsi="Cambria Math"/>
                    <w:i/>
                    <w:iCs/>
                  </w:rPr>
                </m:ctrlPr>
              </m:sSubPr>
              <m:e>
                <m:r>
                  <w:rPr>
                    <w:rFonts w:ascii="Cambria Math" w:hAnsi="Cambria Math"/>
                  </w:rPr>
                  <m:t>Q</m:t>
                </m:r>
              </m:e>
              <m:sub>
                <m:r>
                  <w:rPr>
                    <w:rFonts w:ascii="Cambria Math" w:hAnsi="Cambria Math"/>
                  </w:rPr>
                  <m:t>Ref</m:t>
                </m:r>
              </m:sub>
            </m:sSub>
            <m:r>
              <m:rPr>
                <m:sty m:val="p"/>
              </m:rPr>
              <w:rPr>
                <w:rFonts w:ascii="Cambria Math" w:hAnsi="Cambria Math"/>
              </w:rPr>
              <m:t xml:space="preserve"> </m:t>
            </m:r>
          </m:num>
          <m:den>
            <m:sSub>
              <m:sSubPr>
                <m:ctrlPr>
                  <w:rPr>
                    <w:rFonts w:ascii="Cambria Math" w:hAnsi="Cambria Math"/>
                    <w:i/>
                    <w:iCs/>
                  </w:rPr>
                </m:ctrlPr>
              </m:sSubPr>
              <m:e>
                <m:r>
                  <w:rPr>
                    <w:rFonts w:ascii="Cambria Math" w:hAnsi="Cambria Math"/>
                  </w:rPr>
                  <m:t>Q</m:t>
                </m:r>
              </m:e>
              <m:sub>
                <m:r>
                  <w:rPr>
                    <w:rFonts w:ascii="Cambria Math" w:hAnsi="Cambria Math"/>
                  </w:rPr>
                  <m:t>ref</m:t>
                </m:r>
              </m:sub>
            </m:sSub>
          </m:den>
        </m:f>
        <m:r>
          <w:rPr>
            <w:rFonts w:ascii="Cambria Math" w:hAnsi="Cambria Math"/>
          </w:rPr>
          <m:t>≥-0.10</m:t>
        </m:r>
        <m:r>
          <w:rPr>
            <w:rFonts w:ascii="Cambria Math" w:hAnsi="Cambria Math"/>
          </w:rPr>
          <m:t>"</m:t>
        </m:r>
      </m:oMath>
    </w:p>
    <w:p w:rsidR="005024AA" w:rsidRDefault="005024AA" w:rsidP="005024AA">
      <w:pPr>
        <w:pStyle w:val="SingleTxtG"/>
        <w:ind w:left="1130"/>
        <w:rPr>
          <w:i/>
        </w:rPr>
      </w:pPr>
      <w:r>
        <w:rPr>
          <w:i/>
        </w:rPr>
        <w:t xml:space="preserve">Följdändring: </w:t>
      </w:r>
    </w:p>
    <w:p w:rsidR="005024AA" w:rsidRDefault="005024AA" w:rsidP="005024AA">
      <w:pPr>
        <w:pStyle w:val="SingleTxtG"/>
        <w:rPr>
          <w:iCs/>
        </w:rPr>
      </w:pPr>
      <w:r>
        <w:t>Bilaga 1, tillägg 2, punkt 9.2.1:</w:t>
      </w:r>
    </w:p>
    <w:p w:rsidR="005024AA" w:rsidRPr="00807CBC" w:rsidRDefault="005024AA" w:rsidP="005024AA">
      <w:pPr>
        <w:pStyle w:val="SingleTxtG"/>
        <w:rPr>
          <w:iCs/>
        </w:rPr>
      </w:pPr>
      <w:r>
        <w:t xml:space="preserve">I formeln </w:t>
      </w:r>
      <w:r w:rsidR="00805CBF">
        <w:rPr>
          <w:iCs/>
        </w:rPr>
        <w:t>"</w:t>
      </w:r>
      <w:r w:rsidR="00805CBF">
        <w:t xml:space="preserve"> </w:t>
      </w:r>
      <w:r w:rsidR="00805CBF" w:rsidRPr="00CE4045">
        <w:rPr>
          <w:rFonts w:asciiTheme="majorBidi" w:hAnsiTheme="majorBidi" w:cstheme="majorBidi"/>
          <w:position w:val="-32"/>
          <w:sz w:val="22"/>
          <w:szCs w:val="22"/>
        </w:rPr>
        <w:object w:dxaOrig="310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4.5pt;height:30.5pt" o:ole="" filled="t">
            <v:fill color2="black"/>
            <v:imagedata r:id="rId5" o:title=""/>
          </v:shape>
          <o:OLEObject Type="Embed" ProgID="Equation.3" ShapeID="_x0000_i1027" DrawAspect="Content" ObjectID="_1746944977" r:id="rId6"/>
        </w:object>
      </w:r>
      <w:r>
        <w:t xml:space="preserve"> ersätts ”0,035” med ”0.035”.</w:t>
      </w:r>
    </w:p>
    <w:p w:rsidR="005024AA" w:rsidRPr="007B5A29" w:rsidRDefault="005024AA" w:rsidP="005024AA">
      <w:pPr>
        <w:pStyle w:val="SingleTxtG"/>
        <w:rPr>
          <w:i/>
        </w:rPr>
      </w:pPr>
      <w:r>
        <w:rPr>
          <w:i/>
        </w:rPr>
        <w:t>(Referensdokument: ECE/TRANS/WP.11/2021/2)</w:t>
      </w:r>
    </w:p>
    <w:p w:rsidR="005024AA" w:rsidRDefault="005024AA" w:rsidP="005024AA">
      <w:pPr>
        <w:pStyle w:val="H23G"/>
        <w:rPr>
          <w:spacing w:val="4"/>
          <w:w w:val="103"/>
          <w:kern w:val="14"/>
        </w:rPr>
      </w:pPr>
      <w:r>
        <w:rPr>
          <w:b w:val="0"/>
        </w:rPr>
        <w:tab/>
      </w:r>
      <w:r>
        <w:rPr>
          <w:b w:val="0"/>
        </w:rPr>
        <w:tab/>
      </w:r>
      <w:r>
        <w:t>6.</w:t>
      </w:r>
      <w:r>
        <w:tab/>
      </w:r>
      <w:r w:rsidR="00E667C0">
        <w:tab/>
      </w:r>
      <w:r>
        <w:t>Bilaga 1, tillägg 2, punkt 6.2.3</w:t>
      </w:r>
      <w:bookmarkStart w:id="0" w:name="_GoBack"/>
      <w:bookmarkEnd w:id="0"/>
    </w:p>
    <w:p w:rsidR="005024AA" w:rsidRPr="004A388B" w:rsidRDefault="005024AA" w:rsidP="005024AA">
      <w:pPr>
        <w:pStyle w:val="SingleTxtG"/>
      </w:pPr>
      <w:r>
        <w:t>Punkt 6.2.3 ändras och får följande lydelse:</w:t>
      </w:r>
    </w:p>
    <w:p w:rsidR="005024AA" w:rsidRPr="004A388B" w:rsidRDefault="005024AA" w:rsidP="005024AA">
      <w:pPr>
        <w:pStyle w:val="SingleTxtG"/>
      </w:pPr>
      <w:r>
        <w:t>”På tillverkarens begäran får det ursprungliga köldmediet i mekaniskt kyld utrustning som är i drift bytas ut på följande villkor:</w:t>
      </w:r>
    </w:p>
    <w:p w:rsidR="005024AA" w:rsidRPr="00BB2ED6" w:rsidRDefault="005024AA" w:rsidP="005024AA">
      <w:pPr>
        <w:pStyle w:val="SingleTxtG"/>
        <w:ind w:firstLine="567"/>
      </w:pPr>
      <w:r>
        <w:tab/>
        <w:t xml:space="preserve"> a) en provningsrapport eller ett tillägg som bekräftar likvärdigheten med en motsvarande mekaniskt kyld enhet och </w:t>
      </w:r>
      <w:proofErr w:type="spellStart"/>
      <w:r>
        <w:t>drop</w:t>
      </w:r>
      <w:proofErr w:type="spellEnd"/>
      <w:r>
        <w:t>-in köldmediet finns tillgänglig i enlighet med punkterna 4.5 i tillägg 2 till bilaga 1 till ATP-avtalet, och</w:t>
      </w:r>
    </w:p>
    <w:p w:rsidR="005024AA" w:rsidRPr="00BB2ED6" w:rsidRDefault="005024AA" w:rsidP="005024AA">
      <w:pPr>
        <w:pStyle w:val="SingleTxtG"/>
        <w:ind w:firstLine="567"/>
      </w:pPr>
      <w:r>
        <w:tab/>
        <w:t>b) effektivitetskontroll enligt punkterna 6.2.1 eller 6.2.2 har genomförts med framgång.</w:t>
      </w:r>
    </w:p>
    <w:p w:rsidR="005024AA" w:rsidRPr="004A388B" w:rsidRDefault="005024AA" w:rsidP="005024AA">
      <w:pPr>
        <w:pStyle w:val="SingleTxtG"/>
      </w:pPr>
      <w:r>
        <w:t>Om begäran bifalls, skall tillverkarens skylt korrigeras i enlighet med detta.</w:t>
      </w:r>
    </w:p>
    <w:p w:rsidR="005024AA" w:rsidRPr="004A388B" w:rsidRDefault="005024AA" w:rsidP="005024AA">
      <w:pPr>
        <w:pStyle w:val="SingleTxtG"/>
        <w:spacing w:after="240"/>
      </w:pPr>
      <w:r>
        <w:t>Särskilt när det gäller byte av köldmedium av det slag som anges i tabellen nedan krävs det enligt led a endast att tillverkaren begär att den officiella provningsstationen utfärdar ett tillägg utan ytterligare provning.</w:t>
      </w:r>
    </w:p>
    <w:tbl>
      <w:tblPr>
        <w:tblStyle w:val="TaulukkoRuudukko"/>
        <w:tblW w:w="0" w:type="auto"/>
        <w:tblInd w:w="1134" w:type="dxa"/>
        <w:tblLayout w:type="fixed"/>
        <w:tblLook w:val="04A0" w:firstRow="1" w:lastRow="0" w:firstColumn="1" w:lastColumn="0" w:noHBand="0" w:noVBand="1"/>
      </w:tblPr>
      <w:tblGrid>
        <w:gridCol w:w="3681"/>
        <w:gridCol w:w="3685"/>
      </w:tblGrid>
      <w:tr w:rsidR="005024AA" w:rsidRPr="004A388B" w:rsidTr="00194D0B">
        <w:tc>
          <w:tcPr>
            <w:tcW w:w="3681" w:type="dxa"/>
            <w:tcBorders>
              <w:top w:val="single" w:sz="4" w:space="0" w:color="auto"/>
              <w:left w:val="single" w:sz="4" w:space="0" w:color="auto"/>
              <w:bottom w:val="single" w:sz="4" w:space="0" w:color="auto"/>
              <w:right w:val="single" w:sz="4" w:space="0" w:color="auto"/>
            </w:tcBorders>
            <w:hideMark/>
          </w:tcPr>
          <w:p w:rsidR="005024AA" w:rsidRPr="004A388B" w:rsidRDefault="005024AA" w:rsidP="00194D0B">
            <w:pPr>
              <w:jc w:val="center"/>
            </w:pPr>
            <w:r>
              <w:t>Ursprungligt köldmedium</w:t>
            </w:r>
          </w:p>
        </w:tc>
        <w:tc>
          <w:tcPr>
            <w:tcW w:w="3685" w:type="dxa"/>
            <w:tcBorders>
              <w:top w:val="single" w:sz="4" w:space="0" w:color="auto"/>
              <w:left w:val="single" w:sz="4" w:space="0" w:color="auto"/>
              <w:bottom w:val="single" w:sz="4" w:space="0" w:color="auto"/>
              <w:right w:val="single" w:sz="4" w:space="0" w:color="auto"/>
            </w:tcBorders>
            <w:hideMark/>
          </w:tcPr>
          <w:p w:rsidR="005024AA" w:rsidRPr="004A388B" w:rsidRDefault="005024AA" w:rsidP="00194D0B">
            <w:pPr>
              <w:jc w:val="center"/>
            </w:pPr>
            <w:proofErr w:type="spellStart"/>
            <w:r>
              <w:t>Drop</w:t>
            </w:r>
            <w:proofErr w:type="spellEnd"/>
            <w:r>
              <w:t>-in-köldmedium</w:t>
            </w:r>
          </w:p>
        </w:tc>
      </w:tr>
      <w:tr w:rsidR="005024AA" w:rsidRPr="004A388B" w:rsidTr="00194D0B">
        <w:tc>
          <w:tcPr>
            <w:tcW w:w="3681" w:type="dxa"/>
            <w:tcBorders>
              <w:top w:val="single" w:sz="4" w:space="0" w:color="auto"/>
              <w:left w:val="single" w:sz="4" w:space="0" w:color="auto"/>
              <w:bottom w:val="single" w:sz="4" w:space="0" w:color="auto"/>
              <w:right w:val="single" w:sz="4" w:space="0" w:color="auto"/>
            </w:tcBorders>
            <w:hideMark/>
          </w:tcPr>
          <w:p w:rsidR="005024AA" w:rsidRPr="004A388B" w:rsidRDefault="005024AA" w:rsidP="00194D0B">
            <w:pPr>
              <w:jc w:val="center"/>
            </w:pPr>
            <w:r>
              <w:t>R404A</w:t>
            </w:r>
          </w:p>
        </w:tc>
        <w:tc>
          <w:tcPr>
            <w:tcW w:w="3685" w:type="dxa"/>
            <w:tcBorders>
              <w:top w:val="single" w:sz="4" w:space="0" w:color="auto"/>
              <w:left w:val="single" w:sz="4" w:space="0" w:color="auto"/>
              <w:bottom w:val="single" w:sz="4" w:space="0" w:color="auto"/>
              <w:right w:val="single" w:sz="4" w:space="0" w:color="auto"/>
            </w:tcBorders>
            <w:hideMark/>
          </w:tcPr>
          <w:p w:rsidR="005024AA" w:rsidRPr="004A388B" w:rsidRDefault="005024AA" w:rsidP="00194D0B">
            <w:pPr>
              <w:jc w:val="center"/>
            </w:pPr>
            <w:r>
              <w:t>R452A</w:t>
            </w:r>
          </w:p>
        </w:tc>
      </w:tr>
    </w:tbl>
    <w:p w:rsidR="005024AA" w:rsidRPr="004A388B" w:rsidRDefault="005024AA" w:rsidP="005024AA">
      <w:pPr>
        <w:pStyle w:val="SingleTxtG"/>
        <w:jc w:val="right"/>
      </w:pPr>
      <w:r>
        <w:t>”</w:t>
      </w:r>
    </w:p>
    <w:p w:rsidR="005024AA" w:rsidRPr="00E461B3" w:rsidRDefault="005024AA" w:rsidP="005024AA">
      <w:pPr>
        <w:pStyle w:val="SingleTxtG"/>
        <w:rPr>
          <w:i/>
        </w:rPr>
      </w:pPr>
      <w:r>
        <w:tab/>
      </w:r>
      <w:r>
        <w:rPr>
          <w:i/>
        </w:rPr>
        <w:t>(Referensdokument: ECE/TRANS/WP.11/2021/7)</w:t>
      </w:r>
    </w:p>
    <w:p w:rsidR="005024AA" w:rsidRDefault="005024AA" w:rsidP="005024AA">
      <w:pPr>
        <w:pStyle w:val="H23G"/>
        <w:rPr>
          <w:spacing w:val="4"/>
          <w:w w:val="103"/>
          <w:kern w:val="14"/>
        </w:rPr>
      </w:pPr>
      <w:r>
        <w:rPr>
          <w:b w:val="0"/>
        </w:rPr>
        <w:tab/>
      </w:r>
      <w:r>
        <w:rPr>
          <w:b w:val="0"/>
        </w:rPr>
        <w:tab/>
      </w:r>
      <w:r>
        <w:t>7.</w:t>
      </w:r>
      <w:r w:rsidR="00E667C0">
        <w:tab/>
      </w:r>
      <w:r>
        <w:tab/>
        <w:t>Bilaga 1, tillägg 2, punkt 7.3.2</w:t>
      </w:r>
    </w:p>
    <w:p w:rsidR="005024AA" w:rsidRPr="00BB56AA" w:rsidRDefault="005024AA" w:rsidP="005024AA">
      <w:pPr>
        <w:pStyle w:val="SingleTxtG"/>
      </w:pPr>
      <w:r>
        <w:tab/>
        <w:t>Punkt 7.3.2 andra raden, som börjar med ”Ytan...”, ändras och får följande lydelse:</w:t>
      </w:r>
    </w:p>
    <w:p w:rsidR="005024AA" w:rsidRPr="00E667C0" w:rsidRDefault="005024AA" w:rsidP="005024AA">
      <w:pPr>
        <w:pStyle w:val="SingleTxtG"/>
        <w:rPr>
          <w:lang w:val="fi-FI"/>
        </w:rPr>
      </w:pPr>
      <w:r>
        <w:t xml:space="preserve">”Ytan av karosseriets insida får variera högst 20 %.” </w:t>
      </w:r>
      <w:r w:rsidRPr="00E667C0">
        <w:rPr>
          <w:lang w:val="fi-FI"/>
        </w:rPr>
        <w:t>[</w:t>
      </w:r>
      <w:r w:rsidRPr="00E667C0">
        <w:rPr>
          <w:i/>
          <w:iCs/>
          <w:lang w:val="fi-FI"/>
        </w:rPr>
        <w:t>Kääntäjän huomautus: ei muutoksia ruotsinkieliseen tekstiin</w:t>
      </w:r>
      <w:r w:rsidRPr="00E667C0">
        <w:rPr>
          <w:lang w:val="fi-FI"/>
        </w:rPr>
        <w:t>]</w:t>
      </w:r>
    </w:p>
    <w:p w:rsidR="005024AA" w:rsidRPr="006676AA" w:rsidRDefault="005024AA" w:rsidP="005024AA">
      <w:pPr>
        <w:pStyle w:val="SingleTxtG"/>
        <w:rPr>
          <w:i/>
        </w:rPr>
      </w:pPr>
      <w:r>
        <w:rPr>
          <w:i/>
        </w:rPr>
        <w:t>(Referensdokument: ECE/TRANS/WP.11/2021/16)</w:t>
      </w:r>
    </w:p>
    <w:p w:rsidR="005024AA" w:rsidRPr="006676AA" w:rsidRDefault="005024AA" w:rsidP="005024AA">
      <w:pPr>
        <w:pStyle w:val="H23G"/>
        <w:rPr>
          <w:w w:val="103"/>
        </w:rPr>
      </w:pPr>
      <w:r>
        <w:rPr>
          <w:b w:val="0"/>
        </w:rPr>
        <w:tab/>
      </w:r>
      <w:r>
        <w:rPr>
          <w:b w:val="0"/>
        </w:rPr>
        <w:tab/>
      </w:r>
      <w:r>
        <w:rPr>
          <w:b w:val="0"/>
        </w:rPr>
        <w:tab/>
      </w:r>
      <w:r>
        <w:t>8.</w:t>
      </w:r>
      <w:r>
        <w:tab/>
        <w:t>Bilaga 1, tillägg 2, punkt 7.3.2</w:t>
      </w:r>
    </w:p>
    <w:p w:rsidR="005024AA" w:rsidRPr="00F45DF4" w:rsidRDefault="005024AA" w:rsidP="005024AA">
      <w:pPr>
        <w:pStyle w:val="SingleTxtG"/>
      </w:pPr>
      <w:r>
        <w:t xml:space="preserve">Definitionen av storheten </w:t>
      </w:r>
      <w:proofErr w:type="spellStart"/>
      <w:r>
        <w:rPr>
          <w:i/>
        </w:rPr>
        <w:t>S</w:t>
      </w:r>
      <w:r>
        <w:rPr>
          <w:i/>
          <w:vertAlign w:val="subscript"/>
        </w:rPr>
        <w:t>body</w:t>
      </w:r>
      <w:proofErr w:type="spellEnd"/>
      <w:r>
        <w:t xml:space="preserve"> ändras så att den har följande lydelse:</w:t>
      </w:r>
    </w:p>
    <w:p w:rsidR="005024AA" w:rsidRPr="006174E6" w:rsidRDefault="005024AA" w:rsidP="005024AA">
      <w:pPr>
        <w:pStyle w:val="SingleTxtG"/>
      </w:pPr>
      <w:r>
        <w:t xml:space="preserve">” </w:t>
      </w:r>
      <w:proofErr w:type="spellStart"/>
      <w:r>
        <w:t>S</w:t>
      </w:r>
      <w:r>
        <w:rPr>
          <w:vertAlign w:val="subscript"/>
        </w:rPr>
        <w:t>body</w:t>
      </w:r>
      <w:proofErr w:type="spellEnd"/>
      <w:r>
        <w:t xml:space="preserve"> är den geometriska genomsnittsytan för karosseriets inre och yttre ytor.” </w:t>
      </w:r>
    </w:p>
    <w:p w:rsidR="005024AA" w:rsidRDefault="005024AA" w:rsidP="005024AA">
      <w:pPr>
        <w:pStyle w:val="SingleTxtG"/>
        <w:rPr>
          <w:i/>
        </w:rPr>
      </w:pPr>
      <w:r>
        <w:rPr>
          <w:i/>
        </w:rPr>
        <w:t>(Referensdokument: ECE/TRANS/WP.11/2021/16 med ändringar)</w:t>
      </w:r>
    </w:p>
    <w:p w:rsidR="005024AA" w:rsidRDefault="005024AA" w:rsidP="005024AA">
      <w:pPr>
        <w:pStyle w:val="H23G"/>
        <w:rPr>
          <w:spacing w:val="4"/>
          <w:w w:val="103"/>
          <w:kern w:val="14"/>
        </w:rPr>
      </w:pPr>
      <w:r>
        <w:rPr>
          <w:b w:val="0"/>
        </w:rPr>
        <w:tab/>
      </w:r>
      <w:r>
        <w:rPr>
          <w:b w:val="0"/>
        </w:rPr>
        <w:tab/>
      </w:r>
      <w:r>
        <w:t>9.</w:t>
      </w:r>
      <w:r>
        <w:tab/>
      </w:r>
      <w:r w:rsidR="00E667C0">
        <w:tab/>
      </w:r>
      <w:r>
        <w:t>Bilaga 1, tillägg 2, punkt 7.3.3</w:t>
      </w:r>
    </w:p>
    <w:p w:rsidR="005024AA" w:rsidRPr="00F45DF4" w:rsidRDefault="005024AA" w:rsidP="005024AA">
      <w:pPr>
        <w:pStyle w:val="SingleTxtG"/>
      </w:pPr>
      <w:r>
        <w:t xml:space="preserve">Definitionen av storheten </w:t>
      </w:r>
      <w:proofErr w:type="spellStart"/>
      <w:r>
        <w:rPr>
          <w:i/>
        </w:rPr>
        <w:t>S</w:t>
      </w:r>
      <w:r>
        <w:rPr>
          <w:i/>
          <w:vertAlign w:val="subscript"/>
        </w:rPr>
        <w:t>chilled-comp</w:t>
      </w:r>
      <w:proofErr w:type="spellEnd"/>
      <w:r>
        <w:t xml:space="preserve"> ändras så att den har följande lydelse:</w:t>
      </w:r>
    </w:p>
    <w:p w:rsidR="005024AA" w:rsidRPr="00BD016B" w:rsidRDefault="005024AA" w:rsidP="005024AA">
      <w:pPr>
        <w:pStyle w:val="SingleTxtG"/>
      </w:pPr>
      <w:r>
        <w:t xml:space="preserve">” </w:t>
      </w:r>
      <w:proofErr w:type="spellStart"/>
      <w:r>
        <w:t>S</w:t>
      </w:r>
      <w:r>
        <w:rPr>
          <w:vertAlign w:val="subscript"/>
        </w:rPr>
        <w:t>chilled</w:t>
      </w:r>
      <w:proofErr w:type="spellEnd"/>
      <w:r>
        <w:rPr>
          <w:vertAlign w:val="subscript"/>
        </w:rPr>
        <w:t>-COMP</w:t>
      </w:r>
      <w:r>
        <w:t xml:space="preserve"> är ytan av det kylda fackets insida när skiljeväggarnas positioner är givna”</w:t>
      </w:r>
    </w:p>
    <w:p w:rsidR="005024AA" w:rsidRPr="006676AA" w:rsidRDefault="005024AA" w:rsidP="005024AA">
      <w:pPr>
        <w:pStyle w:val="SingleTxtG"/>
        <w:rPr>
          <w:i/>
        </w:rPr>
      </w:pPr>
      <w:r>
        <w:rPr>
          <w:i/>
        </w:rPr>
        <w:t>(Referensdokument: ECE/TRANS/WP.11/2021/16)</w:t>
      </w:r>
    </w:p>
    <w:p w:rsidR="005024AA" w:rsidRPr="006676AA" w:rsidRDefault="005024AA" w:rsidP="005024AA">
      <w:pPr>
        <w:pStyle w:val="H23G"/>
        <w:rPr>
          <w:spacing w:val="4"/>
          <w:w w:val="103"/>
          <w:kern w:val="14"/>
        </w:rPr>
      </w:pPr>
      <w:r>
        <w:rPr>
          <w:b w:val="0"/>
        </w:rPr>
        <w:tab/>
      </w:r>
      <w:r>
        <w:rPr>
          <w:b w:val="0"/>
        </w:rPr>
        <w:tab/>
      </w:r>
      <w:r>
        <w:rPr>
          <w:b w:val="0"/>
        </w:rPr>
        <w:tab/>
      </w:r>
      <w:r>
        <w:t>10.</w:t>
      </w:r>
      <w:r>
        <w:tab/>
        <w:t>Bilaga 1, tillägg 2, punkt 7.3.3</w:t>
      </w:r>
    </w:p>
    <w:p w:rsidR="005024AA" w:rsidRPr="00F45DF4" w:rsidRDefault="005024AA" w:rsidP="005024AA">
      <w:pPr>
        <w:pStyle w:val="SingleTxtG"/>
      </w:pPr>
      <w:r>
        <w:t xml:space="preserve">Definitionen av storheten </w:t>
      </w:r>
      <w:proofErr w:type="spellStart"/>
      <w:r>
        <w:rPr>
          <w:i/>
        </w:rPr>
        <w:t>S</w:t>
      </w:r>
      <w:r>
        <w:rPr>
          <w:i/>
          <w:vertAlign w:val="subscript"/>
        </w:rPr>
        <w:t>bulk</w:t>
      </w:r>
      <w:proofErr w:type="spellEnd"/>
      <w:r>
        <w:t xml:space="preserve"> ändras så att den har följande lydelse:</w:t>
      </w:r>
    </w:p>
    <w:p w:rsidR="005024AA" w:rsidRPr="00E667C0" w:rsidRDefault="005024AA" w:rsidP="005024AA">
      <w:pPr>
        <w:pStyle w:val="SingleTxtG"/>
        <w:rPr>
          <w:lang w:val="fi-FI"/>
        </w:rPr>
      </w:pPr>
      <w:r w:rsidRPr="00E667C0">
        <w:rPr>
          <w:lang w:val="fi-FI"/>
        </w:rPr>
        <w:t>”</w:t>
      </w:r>
      <w:proofErr w:type="spellStart"/>
      <w:r w:rsidRPr="00E667C0">
        <w:rPr>
          <w:lang w:val="fi-FI"/>
        </w:rPr>
        <w:t>S</w:t>
      </w:r>
      <w:r w:rsidRPr="00E667C0">
        <w:rPr>
          <w:vertAlign w:val="subscript"/>
          <w:lang w:val="fi-FI"/>
        </w:rPr>
        <w:t>bulk</w:t>
      </w:r>
      <w:proofErr w:type="spellEnd"/>
      <w:r w:rsidRPr="00E667C0">
        <w:rPr>
          <w:lang w:val="fi-FI"/>
        </w:rPr>
        <w:t xml:space="preserve"> </w:t>
      </w:r>
      <w:proofErr w:type="spellStart"/>
      <w:r w:rsidRPr="00E667C0">
        <w:rPr>
          <w:lang w:val="fi-FI"/>
        </w:rPr>
        <w:t>är</w:t>
      </w:r>
      <w:proofErr w:type="spellEnd"/>
      <w:r w:rsidRPr="00E667C0">
        <w:rPr>
          <w:lang w:val="fi-FI"/>
        </w:rPr>
        <w:t xml:space="preserve"> </w:t>
      </w:r>
      <w:proofErr w:type="spellStart"/>
      <w:r w:rsidRPr="00E667C0">
        <w:rPr>
          <w:lang w:val="fi-FI"/>
        </w:rPr>
        <w:t>skiljeväggarnas</w:t>
      </w:r>
      <w:proofErr w:type="spellEnd"/>
      <w:r w:rsidRPr="00E667C0">
        <w:rPr>
          <w:lang w:val="fi-FI"/>
        </w:rPr>
        <w:t xml:space="preserve"> </w:t>
      </w:r>
      <w:proofErr w:type="spellStart"/>
      <w:r w:rsidRPr="00E667C0">
        <w:rPr>
          <w:lang w:val="fi-FI"/>
        </w:rPr>
        <w:t>ytor</w:t>
      </w:r>
      <w:proofErr w:type="spellEnd"/>
      <w:r w:rsidRPr="00E667C0">
        <w:rPr>
          <w:lang w:val="fi-FI"/>
        </w:rPr>
        <w:t>,” [</w:t>
      </w:r>
      <w:r w:rsidRPr="00E667C0">
        <w:rPr>
          <w:i/>
          <w:iCs/>
          <w:lang w:val="fi-FI"/>
        </w:rPr>
        <w:t>Kääntäjän huomautus: ei muutoksia ruotsinkieliseen tekstiin</w:t>
      </w:r>
      <w:r w:rsidRPr="00E667C0">
        <w:rPr>
          <w:lang w:val="fi-FI"/>
        </w:rPr>
        <w:t>]</w:t>
      </w:r>
    </w:p>
    <w:p w:rsidR="005024AA" w:rsidRPr="006676AA" w:rsidRDefault="005024AA" w:rsidP="005024AA">
      <w:pPr>
        <w:pStyle w:val="SingleTxtG"/>
        <w:rPr>
          <w:i/>
        </w:rPr>
      </w:pPr>
      <w:r>
        <w:rPr>
          <w:i/>
        </w:rPr>
        <w:t>(Referensdokument: ECE/TRANS/WP.11/2021/16)</w:t>
      </w:r>
    </w:p>
    <w:p w:rsidR="005024AA" w:rsidRPr="006676AA" w:rsidRDefault="005024AA" w:rsidP="005024AA">
      <w:pPr>
        <w:pStyle w:val="H23G"/>
        <w:rPr>
          <w:spacing w:val="4"/>
          <w:w w:val="103"/>
          <w:kern w:val="14"/>
        </w:rPr>
      </w:pPr>
      <w:r>
        <w:rPr>
          <w:b w:val="0"/>
        </w:rPr>
        <w:tab/>
      </w:r>
      <w:r>
        <w:rPr>
          <w:b w:val="0"/>
        </w:rPr>
        <w:tab/>
      </w:r>
      <w:r>
        <w:rPr>
          <w:b w:val="0"/>
        </w:rPr>
        <w:tab/>
      </w:r>
      <w:r>
        <w:t>11.</w:t>
      </w:r>
      <w:r>
        <w:tab/>
        <w:t>Bilaga 1, tillägg 2, punkt 7.3.4</w:t>
      </w:r>
    </w:p>
    <w:p w:rsidR="005024AA" w:rsidRDefault="005024AA" w:rsidP="005024AA">
      <w:pPr>
        <w:pStyle w:val="SingleTxtG"/>
        <w:spacing w:line="240" w:lineRule="auto"/>
        <w:rPr>
          <w:rFonts w:cs="Arial"/>
        </w:rPr>
      </w:pPr>
      <w:r>
        <w:t xml:space="preserve">Definitionen av storheten </w:t>
      </w:r>
      <w:proofErr w:type="spellStart"/>
      <w:r>
        <w:rPr>
          <w:i/>
        </w:rPr>
        <w:t>S</w:t>
      </w:r>
      <w:r>
        <w:rPr>
          <w:i/>
          <w:vertAlign w:val="subscript"/>
        </w:rPr>
        <w:t>frozen-comp</w:t>
      </w:r>
      <w:proofErr w:type="spellEnd"/>
      <w:r>
        <w:t xml:space="preserve"> ändras så att den har följande lydelse:</w:t>
      </w:r>
    </w:p>
    <w:p w:rsidR="005024AA" w:rsidRPr="008B71A5" w:rsidRDefault="005024AA" w:rsidP="005024AA">
      <w:pPr>
        <w:pStyle w:val="SingleTxtG"/>
        <w:spacing w:line="240" w:lineRule="auto"/>
        <w:rPr>
          <w:rFonts w:cs="Arial"/>
        </w:rPr>
      </w:pPr>
      <w:r>
        <w:t xml:space="preserve">” </w:t>
      </w:r>
      <w:proofErr w:type="spellStart"/>
      <w:r>
        <w:t>S</w:t>
      </w:r>
      <w:r>
        <w:rPr>
          <w:vertAlign w:val="subscript"/>
        </w:rPr>
        <w:t>frozen-comp</w:t>
      </w:r>
      <w:proofErr w:type="spellEnd"/>
      <w:r>
        <w:t xml:space="preserve"> är ytan av frysfackets insida när skiljeväggarnas positioner är givna”</w:t>
      </w:r>
    </w:p>
    <w:p w:rsidR="005024AA" w:rsidRPr="006676AA" w:rsidRDefault="005024AA" w:rsidP="005024AA">
      <w:pPr>
        <w:pStyle w:val="SingleTxtG"/>
        <w:rPr>
          <w:i/>
        </w:rPr>
      </w:pPr>
      <w:r>
        <w:rPr>
          <w:i/>
        </w:rPr>
        <w:t>(Referensdokument: ECE/TRANS/WP.11/2021/16)</w:t>
      </w:r>
    </w:p>
    <w:p w:rsidR="005024AA" w:rsidRPr="006676AA" w:rsidRDefault="005024AA" w:rsidP="005024AA">
      <w:pPr>
        <w:pStyle w:val="H23G"/>
        <w:rPr>
          <w:spacing w:val="4"/>
          <w:w w:val="103"/>
          <w:kern w:val="14"/>
        </w:rPr>
      </w:pPr>
      <w:r>
        <w:rPr>
          <w:b w:val="0"/>
        </w:rPr>
        <w:tab/>
      </w:r>
      <w:r>
        <w:rPr>
          <w:b w:val="0"/>
        </w:rPr>
        <w:tab/>
      </w:r>
      <w:r>
        <w:rPr>
          <w:b w:val="0"/>
        </w:rPr>
        <w:tab/>
      </w:r>
      <w:r>
        <w:t>12.</w:t>
      </w:r>
      <w:r>
        <w:tab/>
        <w:t>Bilaga 1, tillägg 4, punkt 7.3.4</w:t>
      </w:r>
    </w:p>
    <w:p w:rsidR="005024AA" w:rsidRDefault="005024AA" w:rsidP="005024AA">
      <w:pPr>
        <w:pStyle w:val="SingleTxtG"/>
        <w:spacing w:line="240" w:lineRule="auto"/>
        <w:rPr>
          <w:rFonts w:cs="Arial"/>
        </w:rPr>
      </w:pPr>
      <w:r>
        <w:t xml:space="preserve">Definitionen av storheten </w:t>
      </w:r>
      <w:proofErr w:type="spellStart"/>
      <w:r>
        <w:rPr>
          <w:i/>
        </w:rPr>
        <w:t>S</w:t>
      </w:r>
      <w:r>
        <w:rPr>
          <w:i/>
          <w:vertAlign w:val="subscript"/>
        </w:rPr>
        <w:t>bulk</w:t>
      </w:r>
      <w:proofErr w:type="spellEnd"/>
      <w:r>
        <w:t xml:space="preserve"> ändras så att den har följande lydelse:</w:t>
      </w:r>
    </w:p>
    <w:p w:rsidR="005024AA" w:rsidRPr="00E667C0" w:rsidRDefault="005024AA" w:rsidP="005024AA">
      <w:pPr>
        <w:pStyle w:val="SingleTxtG"/>
        <w:spacing w:line="240" w:lineRule="auto"/>
        <w:rPr>
          <w:rFonts w:cs="Arial"/>
          <w:lang w:val="fi-FI"/>
        </w:rPr>
      </w:pPr>
      <w:r w:rsidRPr="00E667C0">
        <w:rPr>
          <w:lang w:val="fi-FI"/>
        </w:rPr>
        <w:t>”</w:t>
      </w:r>
      <w:proofErr w:type="spellStart"/>
      <w:r w:rsidRPr="00E667C0">
        <w:rPr>
          <w:lang w:val="fi-FI"/>
        </w:rPr>
        <w:t>S</w:t>
      </w:r>
      <w:r w:rsidRPr="00E667C0">
        <w:rPr>
          <w:vertAlign w:val="subscript"/>
          <w:lang w:val="fi-FI"/>
        </w:rPr>
        <w:t>bulk</w:t>
      </w:r>
      <w:proofErr w:type="spellEnd"/>
      <w:r w:rsidRPr="00E667C0">
        <w:rPr>
          <w:lang w:val="fi-FI"/>
        </w:rPr>
        <w:t xml:space="preserve"> </w:t>
      </w:r>
      <w:proofErr w:type="spellStart"/>
      <w:r w:rsidRPr="00E667C0">
        <w:rPr>
          <w:lang w:val="fi-FI"/>
        </w:rPr>
        <w:t>är</w:t>
      </w:r>
      <w:proofErr w:type="spellEnd"/>
      <w:r w:rsidRPr="00E667C0">
        <w:rPr>
          <w:lang w:val="fi-FI"/>
        </w:rPr>
        <w:t xml:space="preserve"> </w:t>
      </w:r>
      <w:proofErr w:type="spellStart"/>
      <w:r w:rsidRPr="00E667C0">
        <w:rPr>
          <w:lang w:val="fi-FI"/>
        </w:rPr>
        <w:t>skiljeväggarnas</w:t>
      </w:r>
      <w:proofErr w:type="spellEnd"/>
      <w:r w:rsidRPr="00E667C0">
        <w:rPr>
          <w:lang w:val="fi-FI"/>
        </w:rPr>
        <w:t xml:space="preserve"> </w:t>
      </w:r>
      <w:proofErr w:type="spellStart"/>
      <w:r w:rsidRPr="00E667C0">
        <w:rPr>
          <w:lang w:val="fi-FI"/>
        </w:rPr>
        <w:t>ytor</w:t>
      </w:r>
      <w:proofErr w:type="spellEnd"/>
      <w:r w:rsidRPr="00E667C0">
        <w:rPr>
          <w:lang w:val="fi-FI"/>
        </w:rPr>
        <w:t>” [</w:t>
      </w:r>
      <w:r w:rsidRPr="00E667C0">
        <w:rPr>
          <w:i/>
          <w:iCs/>
          <w:lang w:val="fi-FI"/>
        </w:rPr>
        <w:t>Kääntäjän huomautus: ei muutoksia ruotsinkieliseen tekstiin</w:t>
      </w:r>
      <w:r w:rsidRPr="00E667C0">
        <w:rPr>
          <w:lang w:val="fi-FI"/>
        </w:rPr>
        <w:t>]</w:t>
      </w:r>
    </w:p>
    <w:p w:rsidR="005024AA" w:rsidRPr="00A33C68" w:rsidRDefault="005024AA" w:rsidP="005024AA">
      <w:pPr>
        <w:pStyle w:val="SingleTxtG"/>
        <w:rPr>
          <w:i/>
        </w:rPr>
      </w:pPr>
      <w:r>
        <w:rPr>
          <w:i/>
        </w:rPr>
        <w:t>(Referensdokument: ECE/TRANS/WP.11/2021/16)</w:t>
      </w:r>
    </w:p>
    <w:p w:rsidR="005024AA" w:rsidRDefault="005024AA" w:rsidP="005024AA">
      <w:pPr>
        <w:pStyle w:val="H23G"/>
        <w:rPr>
          <w:spacing w:val="4"/>
          <w:w w:val="103"/>
          <w:kern w:val="14"/>
        </w:rPr>
      </w:pPr>
      <w:r>
        <w:rPr>
          <w:b w:val="0"/>
        </w:rPr>
        <w:tab/>
      </w:r>
      <w:r>
        <w:rPr>
          <w:b w:val="0"/>
        </w:rPr>
        <w:tab/>
      </w:r>
      <w:r>
        <w:t>13.</w:t>
      </w:r>
      <w:r>
        <w:tab/>
        <w:t>Bilaga 1, tillägg 2, punkt 7.3.7</w:t>
      </w:r>
    </w:p>
    <w:p w:rsidR="005024AA" w:rsidRDefault="005024AA" w:rsidP="005024AA">
      <w:pPr>
        <w:pStyle w:val="SingleTxtG"/>
      </w:pPr>
      <w:r>
        <w:t>I rubriken för den tredje kolumnen i tabellen ersätts ordet ”</w:t>
      </w:r>
      <w:proofErr w:type="spellStart"/>
      <w:r>
        <w:rPr>
          <w:i/>
        </w:rPr>
        <w:t>Löstagbar”</w:t>
      </w:r>
      <w:r>
        <w:t>med</w:t>
      </w:r>
      <w:proofErr w:type="spellEnd"/>
      <w:r>
        <w:t xml:space="preserve"> ordet ”</w:t>
      </w:r>
      <w:r>
        <w:rPr>
          <w:i/>
        </w:rPr>
        <w:t>Flyttbar”</w:t>
      </w:r>
      <w:r>
        <w:t>.</w:t>
      </w:r>
    </w:p>
    <w:p w:rsidR="005024AA" w:rsidRPr="005024AA" w:rsidRDefault="005024AA" w:rsidP="005024AA">
      <w:pPr>
        <w:ind w:left="567" w:firstLine="567"/>
        <w:rPr>
          <w:i/>
        </w:rPr>
      </w:pPr>
      <w:r>
        <w:rPr>
          <w:i/>
        </w:rPr>
        <w:t>(Referensdokument: ECE/TRANS/WP.11/2021/9 och ECE/TRANS/WP.11/2021/18)</w:t>
      </w:r>
    </w:p>
    <w:p w:rsidR="005024AA" w:rsidRDefault="005024AA" w:rsidP="005024AA">
      <w:pPr>
        <w:pStyle w:val="H23G"/>
        <w:rPr>
          <w:spacing w:val="4"/>
          <w:w w:val="103"/>
          <w:kern w:val="14"/>
        </w:rPr>
      </w:pPr>
      <w:r>
        <w:rPr>
          <w:b w:val="0"/>
        </w:rPr>
        <w:tab/>
      </w:r>
      <w:r>
        <w:rPr>
          <w:b w:val="0"/>
        </w:rPr>
        <w:tab/>
      </w:r>
      <w:r>
        <w:t>14.</w:t>
      </w:r>
      <w:r>
        <w:tab/>
        <w:t>Bilaga 1, tillägg 2, punkt 9.2.1</w:t>
      </w:r>
    </w:p>
    <w:p w:rsidR="005024AA" w:rsidRDefault="005024AA" w:rsidP="005024AA">
      <w:pPr>
        <w:pStyle w:val="SingleTxtG"/>
      </w:pPr>
      <w:r>
        <w:t>Tredje stycket, som börjar med ”</w:t>
      </w:r>
      <w:r>
        <w:rPr>
          <w:i/>
          <w:iCs/>
        </w:rPr>
        <w:t>I fråga om</w:t>
      </w:r>
      <w:r>
        <w:rPr>
          <w:i/>
        </w:rPr>
        <w:t>…”</w:t>
      </w:r>
      <w:r>
        <w:t xml:space="preserve">, kompletteras med en sista mening med följande lydelse: </w:t>
      </w:r>
    </w:p>
    <w:p w:rsidR="005024AA" w:rsidRDefault="005024AA" w:rsidP="005024AA">
      <w:pPr>
        <w:pStyle w:val="SingleTxtG"/>
      </w:pPr>
      <w:r>
        <w:t>”Provstationen får beräkna den kyleffekt som fås vid den tredje temperaturnivån utifrån en interpolation baserad på resultaten från provningar vid temperaturnivåerna -20 °C och 0 °C.”</w:t>
      </w:r>
    </w:p>
    <w:p w:rsidR="005024AA" w:rsidRPr="00AA3CEA" w:rsidRDefault="005024AA" w:rsidP="005024AA">
      <w:pPr>
        <w:pStyle w:val="SingleTxtG"/>
      </w:pPr>
      <w:r>
        <w:rPr>
          <w:i/>
        </w:rPr>
        <w:t>(Referensdokument: ECE/TRANS/WP.11/2021/8)</w:t>
      </w:r>
    </w:p>
    <w:p w:rsidR="005024AA" w:rsidRDefault="005024AA" w:rsidP="005024AA">
      <w:pPr>
        <w:pStyle w:val="H23G"/>
        <w:rPr>
          <w:spacing w:val="4"/>
          <w:w w:val="103"/>
          <w:kern w:val="14"/>
        </w:rPr>
      </w:pPr>
      <w:r>
        <w:rPr>
          <w:b w:val="0"/>
        </w:rPr>
        <w:tab/>
      </w:r>
      <w:r>
        <w:rPr>
          <w:b w:val="0"/>
        </w:rPr>
        <w:tab/>
      </w:r>
      <w:r>
        <w:t>15.</w:t>
      </w:r>
      <w:r>
        <w:tab/>
        <w:t>Bilaga 1, tillägg 3 (A), fotnot 4</w:t>
      </w:r>
    </w:p>
    <w:p w:rsidR="005024AA" w:rsidRPr="0079602F" w:rsidRDefault="005024AA" w:rsidP="005024AA">
      <w:pPr>
        <w:pStyle w:val="SingleTxtG"/>
      </w:pPr>
      <w:r>
        <w:t>Fotnot 4 ändras och får följande lydelse:</w:t>
      </w:r>
    </w:p>
    <w:p w:rsidR="005024AA" w:rsidRDefault="005024AA" w:rsidP="005024AA">
      <w:pPr>
        <w:pStyle w:val="SingleTxtG"/>
        <w:rPr>
          <w:i/>
          <w:iCs/>
        </w:rPr>
      </w:pPr>
      <w:r>
        <w:rPr>
          <w:i/>
        </w:rPr>
        <w:t>”4.</w:t>
      </w:r>
      <w:r>
        <w:rPr>
          <w:i/>
        </w:rPr>
        <w:tab/>
        <w:t xml:space="preserve">Med utrustning med multitemperatur avses isolerad utrustning med minst två fack med olika temperatur. I fråga om utrustning med multitemperatur skall utöver ATP-intyget medföras en förklaring om överensstämmelse (se punkt 7.3.6 i tillägg 2 till bilaga 1). </w:t>
      </w:r>
      <w:r w:rsidR="00565E3A">
        <w:rPr>
          <w:i/>
        </w:rPr>
        <w:t>”</w:t>
      </w:r>
    </w:p>
    <w:p w:rsidR="005024AA" w:rsidRDefault="005024AA" w:rsidP="005024AA">
      <w:pPr>
        <w:pStyle w:val="SingleTxtG"/>
        <w:rPr>
          <w:i/>
          <w:iCs/>
        </w:rPr>
      </w:pPr>
      <w:r>
        <w:rPr>
          <w:i/>
        </w:rPr>
        <w:t>(Referensdokument: ECE/TRANS/WP.11/2021/18)</w:t>
      </w:r>
    </w:p>
    <w:p w:rsidR="005024AA" w:rsidRPr="0032752D" w:rsidRDefault="005024AA" w:rsidP="005024AA">
      <w:pPr>
        <w:spacing w:before="240"/>
        <w:jc w:val="center"/>
        <w:rPr>
          <w:u w:val="single"/>
        </w:rPr>
      </w:pPr>
      <w:r>
        <w:rPr>
          <w:u w:val="single"/>
        </w:rPr>
        <w:tab/>
      </w:r>
      <w:r>
        <w:rPr>
          <w:u w:val="single"/>
        </w:rPr>
        <w:tab/>
      </w:r>
      <w:r>
        <w:rPr>
          <w:u w:val="single"/>
        </w:rPr>
        <w:tab/>
      </w:r>
    </w:p>
    <w:p w:rsidR="005024AA" w:rsidRPr="005024AA" w:rsidRDefault="005024AA" w:rsidP="005024AA">
      <w:pPr>
        <w:pStyle w:val="SingleTxtG"/>
      </w:pPr>
    </w:p>
    <w:p w:rsidR="005024AA" w:rsidRDefault="005024AA"/>
    <w:p w:rsidR="005024AA" w:rsidRPr="005024AA" w:rsidRDefault="005024AA"/>
    <w:p w:rsidR="005024AA" w:rsidRPr="005024AA" w:rsidRDefault="005024AA"/>
    <w:sectPr w:rsidR="005024AA" w:rsidRPr="005024A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07447"/>
    <w:multiLevelType w:val="hybridMultilevel"/>
    <w:tmpl w:val="E7D6BB22"/>
    <w:lvl w:ilvl="0" w:tplc="C0F2A7E0">
      <w:start w:val="1"/>
      <w:numFmt w:val="decimal"/>
      <w:lvlText w:val="%1."/>
      <w:lvlJc w:val="left"/>
      <w:pPr>
        <w:ind w:left="1490" w:hanging="360"/>
      </w:pPr>
      <w:rPr>
        <w:rFonts w:hint="default"/>
        <w:w w:val="100"/>
      </w:rPr>
    </w:lvl>
    <w:lvl w:ilvl="1" w:tplc="040B0019" w:tentative="1">
      <w:start w:val="1"/>
      <w:numFmt w:val="lowerLetter"/>
      <w:lvlText w:val="%2."/>
      <w:lvlJc w:val="left"/>
      <w:pPr>
        <w:ind w:left="2210" w:hanging="360"/>
      </w:pPr>
    </w:lvl>
    <w:lvl w:ilvl="2" w:tplc="040B001B" w:tentative="1">
      <w:start w:val="1"/>
      <w:numFmt w:val="lowerRoman"/>
      <w:lvlText w:val="%3."/>
      <w:lvlJc w:val="right"/>
      <w:pPr>
        <w:ind w:left="2930" w:hanging="180"/>
      </w:pPr>
    </w:lvl>
    <w:lvl w:ilvl="3" w:tplc="040B000F" w:tentative="1">
      <w:start w:val="1"/>
      <w:numFmt w:val="decimal"/>
      <w:lvlText w:val="%4."/>
      <w:lvlJc w:val="left"/>
      <w:pPr>
        <w:ind w:left="3650" w:hanging="360"/>
      </w:pPr>
    </w:lvl>
    <w:lvl w:ilvl="4" w:tplc="040B0019" w:tentative="1">
      <w:start w:val="1"/>
      <w:numFmt w:val="lowerLetter"/>
      <w:lvlText w:val="%5."/>
      <w:lvlJc w:val="left"/>
      <w:pPr>
        <w:ind w:left="4370" w:hanging="360"/>
      </w:pPr>
    </w:lvl>
    <w:lvl w:ilvl="5" w:tplc="040B001B" w:tentative="1">
      <w:start w:val="1"/>
      <w:numFmt w:val="lowerRoman"/>
      <w:lvlText w:val="%6."/>
      <w:lvlJc w:val="right"/>
      <w:pPr>
        <w:ind w:left="5090" w:hanging="180"/>
      </w:pPr>
    </w:lvl>
    <w:lvl w:ilvl="6" w:tplc="040B000F" w:tentative="1">
      <w:start w:val="1"/>
      <w:numFmt w:val="decimal"/>
      <w:lvlText w:val="%7."/>
      <w:lvlJc w:val="left"/>
      <w:pPr>
        <w:ind w:left="5810" w:hanging="360"/>
      </w:pPr>
    </w:lvl>
    <w:lvl w:ilvl="7" w:tplc="040B0019" w:tentative="1">
      <w:start w:val="1"/>
      <w:numFmt w:val="lowerLetter"/>
      <w:lvlText w:val="%8."/>
      <w:lvlJc w:val="left"/>
      <w:pPr>
        <w:ind w:left="6530" w:hanging="360"/>
      </w:pPr>
    </w:lvl>
    <w:lvl w:ilvl="8" w:tplc="040B001B" w:tentative="1">
      <w:start w:val="1"/>
      <w:numFmt w:val="lowerRoman"/>
      <w:lvlText w:val="%9."/>
      <w:lvlJc w:val="right"/>
      <w:pPr>
        <w:ind w:left="72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i-FI"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4AA"/>
    <w:rsid w:val="002A5FAB"/>
    <w:rsid w:val="005024AA"/>
    <w:rsid w:val="00565E3A"/>
    <w:rsid w:val="00805CBF"/>
    <w:rsid w:val="00906FAD"/>
    <w:rsid w:val="00DC5077"/>
    <w:rsid w:val="00DF52DA"/>
    <w:rsid w:val="00E667C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4BC4695E-A4D8-4731-8E90-D0C856200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ingleTxtG">
    <w:name w:val="_ Single Txt_G"/>
    <w:basedOn w:val="Normaali"/>
    <w:link w:val="SingleTxtGChar"/>
    <w:qFormat/>
    <w:rsid w:val="005024AA"/>
    <w:pPr>
      <w:suppressAutoHyphens/>
      <w:spacing w:after="120" w:line="240" w:lineRule="atLeast"/>
      <w:ind w:left="1134" w:right="1134"/>
      <w:jc w:val="both"/>
    </w:pPr>
    <w:rPr>
      <w:rFonts w:ascii="Times New Roman" w:eastAsia="Times New Roman" w:hAnsi="Times New Roman" w:cs="Times New Roman"/>
      <w:sz w:val="20"/>
      <w:szCs w:val="20"/>
      <w:lang w:eastAsia="fr-FR"/>
    </w:rPr>
  </w:style>
  <w:style w:type="character" w:customStyle="1" w:styleId="SingleTxtGChar">
    <w:name w:val="_ Single Txt_G Char"/>
    <w:link w:val="SingleTxtG"/>
    <w:qFormat/>
    <w:locked/>
    <w:rsid w:val="005024AA"/>
    <w:rPr>
      <w:rFonts w:ascii="Times New Roman" w:eastAsia="Times New Roman" w:hAnsi="Times New Roman" w:cs="Times New Roman"/>
      <w:sz w:val="20"/>
      <w:szCs w:val="20"/>
      <w:lang w:val="sv-SE" w:eastAsia="fr-FR"/>
    </w:rPr>
  </w:style>
  <w:style w:type="paragraph" w:customStyle="1" w:styleId="HChG">
    <w:name w:val="_ H _Ch_G"/>
    <w:basedOn w:val="Normaali"/>
    <w:next w:val="Normaali"/>
    <w:link w:val="HChGChar"/>
    <w:qFormat/>
    <w:rsid w:val="005024AA"/>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lang w:eastAsia="fr-FR"/>
    </w:rPr>
  </w:style>
  <w:style w:type="paragraph" w:customStyle="1" w:styleId="H23G">
    <w:name w:val="_ H_2/3_G"/>
    <w:basedOn w:val="Normaali"/>
    <w:next w:val="Normaali"/>
    <w:link w:val="H23GChar"/>
    <w:qFormat/>
    <w:rsid w:val="005024AA"/>
    <w:pPr>
      <w:keepNext/>
      <w:keepLines/>
      <w:tabs>
        <w:tab w:val="right" w:pos="851"/>
      </w:tabs>
      <w:suppressAutoHyphens/>
      <w:spacing w:before="240" w:after="120" w:line="240" w:lineRule="exact"/>
      <w:ind w:left="1134" w:right="1134" w:hanging="1134"/>
    </w:pPr>
    <w:rPr>
      <w:rFonts w:ascii="Times New Roman" w:eastAsia="Times New Roman" w:hAnsi="Times New Roman" w:cs="Times New Roman"/>
      <w:b/>
      <w:sz w:val="20"/>
      <w:szCs w:val="20"/>
      <w:lang w:eastAsia="fr-FR"/>
    </w:rPr>
  </w:style>
  <w:style w:type="table" w:styleId="TaulukkoRuudukko">
    <w:name w:val="Table Grid"/>
    <w:basedOn w:val="Normaalitaulukko"/>
    <w:rsid w:val="005024AA"/>
    <w:pPr>
      <w:suppressAutoHyphens/>
      <w:spacing w:after="0" w:line="240" w:lineRule="atLeast"/>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HChGChar">
    <w:name w:val="_ H _Ch_G Char"/>
    <w:link w:val="HChG"/>
    <w:rsid w:val="005024AA"/>
    <w:rPr>
      <w:rFonts w:ascii="Times New Roman" w:eastAsia="Times New Roman" w:hAnsi="Times New Roman" w:cs="Times New Roman"/>
      <w:b/>
      <w:sz w:val="28"/>
      <w:szCs w:val="20"/>
      <w:lang w:val="sv-SE" w:eastAsia="fr-FR"/>
    </w:rPr>
  </w:style>
  <w:style w:type="character" w:customStyle="1" w:styleId="H23GChar">
    <w:name w:val="_ H_2/3_G Char"/>
    <w:link w:val="H23G"/>
    <w:rsid w:val="005024AA"/>
    <w:rPr>
      <w:rFonts w:ascii="Times New Roman" w:eastAsia="Times New Roman" w:hAnsi="Times New Roman" w:cs="Times New Roman"/>
      <w:b/>
      <w:sz w:val="20"/>
      <w:szCs w:val="20"/>
      <w:lang w:val="sv-SE" w:eastAsia="fr-FR"/>
    </w:rPr>
  </w:style>
  <w:style w:type="paragraph" w:styleId="Kommentinteksti">
    <w:name w:val="annotation text"/>
    <w:uiPriority w:val="99"/>
    <w:semiHidden/>
    <w:unhideWhenUsed/>
    <w:pPr>
      <w:spacing w:line="240" w:lineRule="auto"/>
    </w:pPr>
    <w:rPr>
      <w:sz w:val="20"/>
      <w:szCs w:val="20"/>
    </w:rPr>
  </w:style>
  <w:style w:type="character" w:styleId="Kommentinviite">
    <w:name w:val="annotation reference"/>
    <w:uiPriority w:val="99"/>
    <w:semiHidden/>
    <w:unhideWhenUsed/>
    <w:rPr>
      <w:sz w:val="16"/>
      <w:szCs w:val="16"/>
    </w:rPr>
  </w:style>
  <w:style w:type="paragraph" w:styleId="Seliteteksti">
    <w:name w:val="Balloon Text"/>
    <w:basedOn w:val="Normaali"/>
    <w:link w:val="SelitetekstiChar"/>
    <w:uiPriority w:val="99"/>
    <w:semiHidden/>
    <w:unhideWhenUsed/>
    <w:rsid w:val="00E667C0"/>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E667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786</Words>
  <Characters>6375</Characters>
  <Application>Microsoft Office Word</Application>
  <DocSecurity>0</DocSecurity>
  <Lines>53</Lines>
  <Paragraphs>14</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Miettinen Hannu (MMM)</dc:creator>
  <cp:keywords/>
  <dc:description/>
  <cp:lastModifiedBy>Anna Gref (VNK)</cp:lastModifiedBy>
  <cp:revision>6</cp:revision>
  <dcterms:created xsi:type="dcterms:W3CDTF">2023-05-08T11:45:00Z</dcterms:created>
  <dcterms:modified xsi:type="dcterms:W3CDTF">2023-05-30T06:43:00Z</dcterms:modified>
</cp:coreProperties>
</file>