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9F" w:rsidRDefault="00B6289F" w:rsidP="00B6289F">
      <w:pPr>
        <w:pStyle w:val="SingleTxtG"/>
      </w:pPr>
      <w:r>
        <w:t>Det 79:e mötet för arbetsgruppen för transport av lättfördärvliga livsmedel den 25–28 oktober 2022</w:t>
      </w:r>
    </w:p>
    <w:p w:rsidR="00201785" w:rsidRDefault="00201785" w:rsidP="00B6289F">
      <w:pPr>
        <w:pStyle w:val="SingleTxtG"/>
      </w:pPr>
    </w:p>
    <w:p w:rsidR="00201785" w:rsidRDefault="00201785" w:rsidP="00201785">
      <w:pPr>
        <w:pStyle w:val="HChG"/>
        <w:rPr>
          <w:szCs w:val="28"/>
        </w:rPr>
      </w:pPr>
      <w:r>
        <w:t>Bilaga II</w:t>
      </w:r>
    </w:p>
    <w:p w:rsidR="00201785" w:rsidRPr="00201785" w:rsidRDefault="00201785" w:rsidP="00201785">
      <w:pPr>
        <w:jc w:val="right"/>
      </w:pPr>
      <w:r>
        <w:t>[Originalspråk: engelska och franska]</w:t>
      </w:r>
    </w:p>
    <w:p w:rsidR="00201785" w:rsidRPr="007646B7" w:rsidRDefault="00201785" w:rsidP="00201785">
      <w:pPr>
        <w:pStyle w:val="HChG"/>
      </w:pPr>
      <w:r>
        <w:rPr>
          <w:b w:val="0"/>
        </w:rPr>
        <w:tab/>
      </w:r>
      <w:r>
        <w:rPr>
          <w:b w:val="0"/>
        </w:rPr>
        <w:tab/>
      </w:r>
      <w:r>
        <w:t>Föreslagna ändringar i ATP-överenskommelsen</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pPr>
      <w:r>
        <w:tab/>
      </w:r>
      <w:r>
        <w:rPr>
          <w:b/>
        </w:rPr>
        <w:t>1.</w:t>
      </w:r>
      <w:r>
        <w:rPr>
          <w:b/>
        </w:rPr>
        <w:tab/>
      </w:r>
      <w:r>
        <w:rPr>
          <w:b/>
        </w:rPr>
        <w:tab/>
        <w:t>Bilaga 1, tillägg 2, punkt 8, Modell 14</w:t>
      </w:r>
    </w:p>
    <w:p w:rsidR="00201785" w:rsidRDefault="00201785" w:rsidP="00201785">
      <w:pPr>
        <w:pStyle w:val="SingleTxtG"/>
      </w:pPr>
      <w:r>
        <w:t xml:space="preserve">I modell 14 införs en fotnot efter  ordet ”Serienummer” under punkterna ”Isolerat karosseri” och ”Huvudutrustning”. Fotnoten har följande lydelse: </w:t>
      </w:r>
    </w:p>
    <w:p w:rsidR="00201785" w:rsidRPr="00287528" w:rsidRDefault="00201785" w:rsidP="00201785">
      <w:pPr>
        <w:pStyle w:val="SingleTxtG"/>
        <w:rPr>
          <w:vertAlign w:val="superscript"/>
        </w:rPr>
      </w:pPr>
      <w:r>
        <w:t>"</w:t>
      </w:r>
      <w:r>
        <w:rPr>
          <w:vertAlign w:val="superscript"/>
        </w:rPr>
        <w:t>a</w:t>
      </w:r>
      <w:r>
        <w:tab/>
        <w:t xml:space="preserve"> Individuellt serienummer eller serie av serienummer."</w:t>
      </w:r>
    </w:p>
    <w:p w:rsidR="00201785" w:rsidRPr="00201785" w:rsidRDefault="00201785" w:rsidP="00201785">
      <w:pPr>
        <w:spacing w:after="120"/>
        <w:ind w:left="1134" w:right="1134"/>
        <w:jc w:val="both"/>
        <w:rPr>
          <w:i/>
        </w:rPr>
      </w:pPr>
      <w:r>
        <w:rPr>
          <w:i/>
        </w:rPr>
        <w:t>(Referensdokument: ECE/TRANS/WP.11/2022/8/Rev.1 med ändringar)</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highlight w:val="yellow"/>
        </w:rPr>
      </w:pPr>
      <w:r>
        <w:tab/>
      </w:r>
      <w:r>
        <w:rPr>
          <w:b/>
        </w:rPr>
        <w:t>2.</w:t>
      </w:r>
      <w:r>
        <w:rPr>
          <w:b/>
        </w:rPr>
        <w:tab/>
      </w:r>
      <w:r>
        <w:rPr>
          <w:b/>
        </w:rPr>
        <w:tab/>
        <w:t>Bilaga 1, tillägg 3 (A), fotnot 12</w:t>
      </w:r>
    </w:p>
    <w:p w:rsidR="00201785" w:rsidRPr="00DD22D1" w:rsidRDefault="00201785" w:rsidP="00201785">
      <w:pPr>
        <w:pStyle w:val="SingleTxtG"/>
        <w:rPr>
          <w:rFonts w:asciiTheme="majorBidi" w:hAnsiTheme="majorBidi" w:cstheme="majorBidi"/>
          <w:w w:val="103"/>
          <w:lang w:val="fi-FI"/>
        </w:rPr>
      </w:pPr>
      <w:r>
        <w:rPr>
          <w:rFonts w:asciiTheme="majorBidi" w:hAnsiTheme="majorBidi"/>
        </w:rPr>
        <w:tab/>
        <w:t xml:space="preserve">I fotnot 12 skall ordet ”underskrift” ersättas med ordet ”underskrift”. </w:t>
      </w:r>
      <w:r w:rsidRPr="00DD22D1">
        <w:rPr>
          <w:rFonts w:asciiTheme="majorBidi" w:hAnsiTheme="majorBidi"/>
          <w:lang w:val="fi-FI"/>
        </w:rPr>
        <w:t>[</w:t>
      </w:r>
      <w:r w:rsidRPr="00DD22D1">
        <w:rPr>
          <w:rFonts w:asciiTheme="majorBidi" w:hAnsiTheme="majorBidi"/>
          <w:i/>
          <w:iCs/>
          <w:lang w:val="fi-FI"/>
        </w:rPr>
        <w:t>Kääntäjän huomautus: ei muutoksia ruotsinkieliseen tekstiin</w:t>
      </w:r>
      <w:r w:rsidRPr="00DD22D1">
        <w:rPr>
          <w:rFonts w:asciiTheme="majorBidi" w:hAnsiTheme="majorBidi"/>
          <w:lang w:val="fi-FI"/>
        </w:rPr>
        <w:t xml:space="preserve">]  </w:t>
      </w:r>
    </w:p>
    <w:p w:rsidR="00201785" w:rsidRPr="00DD22D1" w:rsidRDefault="00201785" w:rsidP="00201785">
      <w:pPr>
        <w:spacing w:after="120"/>
        <w:ind w:left="1134" w:right="1134"/>
        <w:jc w:val="both"/>
        <w:rPr>
          <w:i/>
          <w:lang w:val="fi-FI"/>
        </w:rPr>
      </w:pPr>
      <w:r w:rsidRPr="00DD22D1">
        <w:rPr>
          <w:lang w:val="fi-FI"/>
        </w:rPr>
        <w:tab/>
      </w:r>
      <w:r w:rsidRPr="00DD22D1">
        <w:rPr>
          <w:i/>
          <w:lang w:val="fi-FI"/>
        </w:rPr>
        <w:t>(</w:t>
      </w:r>
      <w:proofErr w:type="spellStart"/>
      <w:r w:rsidRPr="00DD22D1">
        <w:rPr>
          <w:i/>
          <w:lang w:val="fi-FI"/>
        </w:rPr>
        <w:t>Referensdokument</w:t>
      </w:r>
      <w:proofErr w:type="spellEnd"/>
      <w:r w:rsidRPr="00DD22D1">
        <w:rPr>
          <w:i/>
          <w:lang w:val="fi-FI"/>
        </w:rPr>
        <w:t>: ECE/TRANS/WP.11/2022/17)</w:t>
      </w:r>
    </w:p>
    <w:p w:rsidR="00201785" w:rsidRPr="00061658" w:rsidRDefault="00201785" w:rsidP="00201785">
      <w:pPr>
        <w:keepNext/>
        <w:keepLines/>
        <w:tabs>
          <w:tab w:val="right" w:pos="851"/>
        </w:tabs>
        <w:spacing w:before="240" w:after="120" w:line="240" w:lineRule="exact"/>
        <w:ind w:left="1134" w:right="1134" w:hanging="1134"/>
        <w:rPr>
          <w:b/>
          <w:bCs/>
          <w:spacing w:val="4"/>
          <w:w w:val="103"/>
          <w:kern w:val="14"/>
        </w:rPr>
      </w:pPr>
      <w:r w:rsidRPr="00DD22D1">
        <w:rPr>
          <w:lang w:val="fi-FI"/>
        </w:rPr>
        <w:tab/>
      </w:r>
      <w:r>
        <w:rPr>
          <w:b/>
        </w:rPr>
        <w:t>3.</w:t>
      </w:r>
      <w:r>
        <w:rPr>
          <w:b/>
        </w:rPr>
        <w:tab/>
      </w:r>
      <w:r>
        <w:rPr>
          <w:b/>
        </w:rPr>
        <w:tab/>
        <w:t>Bilaga 1, tillägg 2, punkt 4.3.1(b)</w:t>
      </w:r>
    </w:p>
    <w:p w:rsidR="00201785" w:rsidRPr="001B2484" w:rsidRDefault="00201785" w:rsidP="00201785">
      <w:pPr>
        <w:pStyle w:val="SingleTxtG"/>
        <w:rPr>
          <w:w w:val="103"/>
        </w:rPr>
      </w:pPr>
      <w:r>
        <w:t>Till punkten fogas i slutet ett nytt stycke med följande lydelse:</w:t>
      </w:r>
    </w:p>
    <w:p w:rsidR="00201785" w:rsidRPr="001B2484" w:rsidRDefault="00201785" w:rsidP="00201785">
      <w:pPr>
        <w:pStyle w:val="SingleTxtG"/>
        <w:rPr>
          <w:w w:val="103"/>
        </w:rPr>
      </w:pPr>
      <w:r>
        <w:t xml:space="preserve">”Om kompressorn drivs av en elektrisk reservkraftkälla, skall provningen utföras med tillämpning av den parameter för nominell </w:t>
      </w:r>
      <w:proofErr w:type="spellStart"/>
      <w:r>
        <w:t>ineffekt</w:t>
      </w:r>
      <w:proofErr w:type="spellEnd"/>
      <w:r>
        <w:t xml:space="preserve"> som tillverkaren angett för kompressorn.”</w:t>
      </w:r>
    </w:p>
    <w:p w:rsidR="00201785" w:rsidRPr="00201785" w:rsidRDefault="00201785" w:rsidP="00201785">
      <w:pPr>
        <w:spacing w:after="120"/>
        <w:ind w:left="1134" w:right="1134"/>
        <w:jc w:val="both"/>
        <w:rPr>
          <w:i/>
        </w:rPr>
      </w:pPr>
      <w:r>
        <w:tab/>
      </w:r>
      <w:r>
        <w:rPr>
          <w:i/>
        </w:rPr>
        <w:t>(Referensdokument: ECE/TRANS/WP.11/2022/20)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pPr>
      <w:r>
        <w:tab/>
      </w:r>
      <w:r>
        <w:rPr>
          <w:b/>
        </w:rPr>
        <w:t>4.</w:t>
      </w:r>
      <w:r>
        <w:rPr>
          <w:b/>
        </w:rPr>
        <w:tab/>
      </w:r>
      <w:r>
        <w:rPr>
          <w:b/>
        </w:rPr>
        <w:tab/>
        <w:t xml:space="preserve">Bilaga 1, tillägg 2, punkt 7.3.1 </w:t>
      </w:r>
    </w:p>
    <w:p w:rsidR="00201785" w:rsidRPr="00C112D7" w:rsidRDefault="00201785" w:rsidP="00201785">
      <w:pPr>
        <w:pStyle w:val="SingleTxtG"/>
      </w:pPr>
      <w:r>
        <w:t xml:space="preserve">Uttrycket ”inre skiljeväggarnas” skall ersättas med orden ”skiljeväggarnas”. </w:t>
      </w:r>
    </w:p>
    <w:p w:rsidR="00201785" w:rsidRDefault="00201785" w:rsidP="00201785">
      <w:pPr>
        <w:pStyle w:val="SingleTxtG"/>
        <w:rPr>
          <w:i/>
        </w:rPr>
      </w:pPr>
      <w:r>
        <w:tab/>
      </w:r>
      <w:r>
        <w:rPr>
          <w:i/>
        </w:rPr>
        <w:t>(Referensdokument: ECE/TRANS/WP.11/2022/20)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pPr>
      <w:r>
        <w:tab/>
      </w:r>
      <w:r>
        <w:rPr>
          <w:b/>
        </w:rPr>
        <w:t>5.</w:t>
      </w:r>
      <w:r>
        <w:rPr>
          <w:b/>
        </w:rPr>
        <w:tab/>
      </w:r>
      <w:r>
        <w:rPr>
          <w:b/>
        </w:rPr>
        <w:tab/>
        <w:t xml:space="preserve">Bilaga 1, tillägg 2, punkt 7.3.3 </w:t>
      </w:r>
    </w:p>
    <w:p w:rsidR="00201785" w:rsidRPr="00DD22D1" w:rsidRDefault="00201785" w:rsidP="00201785">
      <w:pPr>
        <w:pStyle w:val="SingleTxtG"/>
        <w:rPr>
          <w:lang w:val="fi-FI"/>
        </w:rPr>
      </w:pPr>
      <w:r>
        <w:t xml:space="preserve">I den inledande satsen skall ordet ”skiljeväggarna” ersättas med ordet ”skiljeväggarna” och i brödtexten skall ordet ”skiljeväggarnas” ersättas med ”skiljeväggarnas” (3 förekomster). </w:t>
      </w:r>
      <w:r w:rsidRPr="00DD22D1">
        <w:rPr>
          <w:lang w:val="fi-FI"/>
        </w:rPr>
        <w:t>[</w:t>
      </w:r>
      <w:r w:rsidRPr="00DD22D1">
        <w:rPr>
          <w:i/>
          <w:iCs/>
          <w:lang w:val="fi-FI"/>
        </w:rPr>
        <w:t>Kääntäjän huomautus: ei muutoksia ruotsinkieliseen tekstiin</w:t>
      </w:r>
      <w:r w:rsidRPr="00DD22D1">
        <w:rPr>
          <w:lang w:val="fi-FI"/>
        </w:rPr>
        <w:t xml:space="preserve">] </w:t>
      </w:r>
    </w:p>
    <w:p w:rsidR="00201785" w:rsidRPr="00DD22D1" w:rsidRDefault="00201785" w:rsidP="00201785">
      <w:pPr>
        <w:spacing w:after="120"/>
        <w:ind w:left="1134" w:right="1134"/>
        <w:jc w:val="both"/>
        <w:rPr>
          <w:i/>
          <w:lang w:val="fi-FI"/>
        </w:rPr>
      </w:pPr>
      <w:r w:rsidRPr="00DD22D1">
        <w:rPr>
          <w:lang w:val="fi-FI"/>
        </w:rPr>
        <w:tab/>
      </w:r>
      <w:r w:rsidRPr="00DD22D1">
        <w:rPr>
          <w:i/>
          <w:lang w:val="fi-FI"/>
        </w:rPr>
        <w:t>(</w:t>
      </w:r>
      <w:proofErr w:type="spellStart"/>
      <w:r w:rsidRPr="00DD22D1">
        <w:rPr>
          <w:i/>
          <w:lang w:val="fi-FI"/>
        </w:rPr>
        <w:t>Referensdokument</w:t>
      </w:r>
      <w:proofErr w:type="spellEnd"/>
      <w:r w:rsidRPr="00DD22D1">
        <w:rPr>
          <w:i/>
          <w:lang w:val="fi-FI"/>
        </w:rPr>
        <w:t>: ECE/TRANS/WP.11/2022/20)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pPr>
      <w:r w:rsidRPr="00DD22D1">
        <w:rPr>
          <w:lang w:val="fi-FI"/>
        </w:rPr>
        <w:tab/>
      </w:r>
      <w:r>
        <w:rPr>
          <w:b/>
        </w:rPr>
        <w:t>6.</w:t>
      </w:r>
      <w:r>
        <w:rPr>
          <w:b/>
        </w:rPr>
        <w:tab/>
      </w:r>
      <w:r>
        <w:rPr>
          <w:b/>
        </w:rPr>
        <w:tab/>
        <w:t xml:space="preserve">Bilaga 1, tillägg 2, punkt 7.3.4 </w:t>
      </w:r>
    </w:p>
    <w:p w:rsidR="00201785" w:rsidRPr="00DD22D1" w:rsidRDefault="00201785" w:rsidP="00201785">
      <w:pPr>
        <w:pStyle w:val="SingleTxtG"/>
        <w:rPr>
          <w:lang w:val="fi-FI"/>
        </w:rPr>
      </w:pPr>
      <w:r>
        <w:t xml:space="preserve">I den inledande satsen skall ordet ”skiljeväggarna” ersättas med ordet ”skiljeväggarna” och i brödtexten skall ordet ”skiljeväggarnas” ersättas med ”skiljeväggarnas” (3 förekomster). </w:t>
      </w:r>
      <w:r w:rsidRPr="00DD22D1">
        <w:rPr>
          <w:lang w:val="fi-FI"/>
        </w:rPr>
        <w:t>[</w:t>
      </w:r>
      <w:r w:rsidRPr="00DD22D1">
        <w:rPr>
          <w:i/>
          <w:iCs/>
          <w:lang w:val="fi-FI"/>
        </w:rPr>
        <w:t>Kääntäjän huomautus: ei muutoksia ruotsinkieliseen tekstiin</w:t>
      </w:r>
      <w:r w:rsidRPr="00DD22D1">
        <w:rPr>
          <w:lang w:val="fi-FI"/>
        </w:rPr>
        <w:t xml:space="preserve">] </w:t>
      </w:r>
    </w:p>
    <w:p w:rsidR="00201785" w:rsidRPr="00DD22D1" w:rsidRDefault="00201785" w:rsidP="00201785">
      <w:pPr>
        <w:pStyle w:val="SingleTxtG"/>
        <w:rPr>
          <w:i/>
          <w:lang w:val="fi-FI"/>
        </w:rPr>
      </w:pPr>
      <w:r w:rsidRPr="00DD22D1">
        <w:rPr>
          <w:lang w:val="fi-FI"/>
        </w:rPr>
        <w:tab/>
      </w:r>
      <w:r w:rsidRPr="00DD22D1">
        <w:rPr>
          <w:i/>
          <w:lang w:val="fi-FI"/>
        </w:rPr>
        <w:t>(</w:t>
      </w:r>
      <w:proofErr w:type="spellStart"/>
      <w:r w:rsidRPr="00DD22D1">
        <w:rPr>
          <w:i/>
          <w:lang w:val="fi-FI"/>
        </w:rPr>
        <w:t>Referensdokument</w:t>
      </w:r>
      <w:proofErr w:type="spellEnd"/>
      <w:r w:rsidRPr="00DD22D1">
        <w:rPr>
          <w:i/>
          <w:lang w:val="fi-FI"/>
        </w:rPr>
        <w:t>: ECE/TRANS/WP.11/2022/20)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pPr>
      <w:r w:rsidRPr="00DD22D1">
        <w:rPr>
          <w:i/>
          <w:lang w:val="fi-FI"/>
        </w:rPr>
        <w:t xml:space="preserve"> </w:t>
      </w:r>
      <w:r w:rsidRPr="00DD22D1">
        <w:rPr>
          <w:lang w:val="fi-FI"/>
        </w:rPr>
        <w:tab/>
      </w:r>
      <w:r>
        <w:rPr>
          <w:b/>
        </w:rPr>
        <w:t>7.</w:t>
      </w:r>
      <w:r>
        <w:rPr>
          <w:b/>
        </w:rPr>
        <w:tab/>
      </w:r>
      <w:r>
        <w:rPr>
          <w:b/>
        </w:rPr>
        <w:tab/>
        <w:t xml:space="preserve">Bilaga 1, tillägg 2, punkt 7.3.5 </w:t>
      </w:r>
    </w:p>
    <w:p w:rsidR="00201785" w:rsidRPr="00DD22D1" w:rsidRDefault="00201785" w:rsidP="00201785">
      <w:pPr>
        <w:pStyle w:val="SingleTxtG"/>
        <w:rPr>
          <w:lang w:val="fi-FI"/>
        </w:rPr>
      </w:pPr>
      <w:r>
        <w:t xml:space="preserve">I den inledande satsen skall ordet ”skiljeväggarna” ersättas med ordet ”skiljeväggarna”. </w:t>
      </w:r>
      <w:r w:rsidRPr="00DD22D1">
        <w:rPr>
          <w:lang w:val="fi-FI"/>
        </w:rPr>
        <w:t>[</w:t>
      </w:r>
      <w:r w:rsidRPr="00DD22D1">
        <w:rPr>
          <w:i/>
          <w:iCs/>
          <w:lang w:val="fi-FI"/>
        </w:rPr>
        <w:t>Kääntäjän huomautus: ei muutoksia ruotsinkieliseen tekstiin</w:t>
      </w:r>
      <w:r w:rsidRPr="00DD22D1">
        <w:rPr>
          <w:lang w:val="fi-FI"/>
        </w:rPr>
        <w:t xml:space="preserve">]  </w:t>
      </w:r>
    </w:p>
    <w:p w:rsidR="00201785" w:rsidRPr="00DD22D1" w:rsidRDefault="00201785" w:rsidP="00201785">
      <w:pPr>
        <w:pStyle w:val="SingleTxtG"/>
        <w:rPr>
          <w:i/>
          <w:lang w:val="fi-FI"/>
        </w:rPr>
      </w:pPr>
      <w:r w:rsidRPr="00DD22D1">
        <w:rPr>
          <w:lang w:val="fi-FI"/>
        </w:rPr>
        <w:tab/>
      </w:r>
      <w:r w:rsidRPr="00DD22D1">
        <w:rPr>
          <w:i/>
          <w:lang w:val="fi-FI"/>
        </w:rPr>
        <w:t>(</w:t>
      </w:r>
      <w:proofErr w:type="spellStart"/>
      <w:r w:rsidRPr="00DD22D1">
        <w:rPr>
          <w:i/>
          <w:lang w:val="fi-FI"/>
        </w:rPr>
        <w:t>Referensdokument</w:t>
      </w:r>
      <w:proofErr w:type="spellEnd"/>
      <w:r w:rsidRPr="00DD22D1">
        <w:rPr>
          <w:i/>
          <w:lang w:val="fi-FI"/>
        </w:rPr>
        <w:t>: ECE/TRANS/WP.11/2022/20)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pPr>
      <w:r w:rsidRPr="00DD22D1">
        <w:rPr>
          <w:lang w:val="fi-FI"/>
        </w:rPr>
        <w:lastRenderedPageBreak/>
        <w:tab/>
      </w:r>
      <w:r>
        <w:rPr>
          <w:b/>
        </w:rPr>
        <w:t>8.</w:t>
      </w:r>
      <w:r>
        <w:rPr>
          <w:b/>
        </w:rPr>
        <w:tab/>
      </w:r>
      <w:r>
        <w:rPr>
          <w:b/>
        </w:rPr>
        <w:tab/>
        <w:t xml:space="preserve">Bilaga 1, tillägg 2, punkt 7.3.6 </w:t>
      </w:r>
    </w:p>
    <w:p w:rsidR="00201785" w:rsidRPr="00DD22D1" w:rsidRDefault="00201785" w:rsidP="00201785">
      <w:pPr>
        <w:pStyle w:val="SingleTxtG"/>
        <w:rPr>
          <w:lang w:val="fi-FI"/>
        </w:rPr>
      </w:pPr>
      <w:r>
        <w:t xml:space="preserve">I den inledande satsen skall ordet ”skiljeväggarna” ersättas med ordet ”skiljeväggarna” och i brödtexten skall ordet ”skiljeväggarnas” ersättas med ”skiljeväggarnas”. </w:t>
      </w:r>
      <w:r w:rsidRPr="00DD22D1">
        <w:rPr>
          <w:lang w:val="fi-FI"/>
        </w:rPr>
        <w:t>[</w:t>
      </w:r>
      <w:r w:rsidRPr="00DD22D1">
        <w:rPr>
          <w:i/>
          <w:iCs/>
          <w:lang w:val="fi-FI"/>
        </w:rPr>
        <w:t>Kääntäjän huomautus: ei muutoksia ruotsinkieliseen tekstiin</w:t>
      </w:r>
      <w:r w:rsidRPr="00DD22D1">
        <w:rPr>
          <w:lang w:val="fi-FI"/>
        </w:rPr>
        <w:t xml:space="preserve">] </w:t>
      </w:r>
    </w:p>
    <w:p w:rsidR="00201785" w:rsidRPr="00DD22D1" w:rsidRDefault="00201785" w:rsidP="00201785">
      <w:pPr>
        <w:pStyle w:val="SingleTxtG"/>
        <w:rPr>
          <w:i/>
          <w:lang w:val="fi-FI"/>
        </w:rPr>
      </w:pPr>
      <w:r w:rsidRPr="00DD22D1">
        <w:rPr>
          <w:lang w:val="fi-FI"/>
        </w:rPr>
        <w:tab/>
      </w:r>
      <w:r w:rsidRPr="00DD22D1">
        <w:rPr>
          <w:i/>
          <w:lang w:val="fi-FI"/>
        </w:rPr>
        <w:t>(</w:t>
      </w:r>
      <w:proofErr w:type="spellStart"/>
      <w:r w:rsidRPr="00DD22D1">
        <w:rPr>
          <w:i/>
          <w:lang w:val="fi-FI"/>
        </w:rPr>
        <w:t>Referensdokument</w:t>
      </w:r>
      <w:proofErr w:type="spellEnd"/>
      <w:r w:rsidRPr="00DD22D1">
        <w:rPr>
          <w:i/>
          <w:lang w:val="fi-FI"/>
        </w:rPr>
        <w:t>: ECE/TRANS/WP.11/2022/20)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pPr>
      <w:r w:rsidRPr="00DD22D1">
        <w:rPr>
          <w:lang w:val="fi-FI"/>
        </w:rPr>
        <w:tab/>
      </w:r>
      <w:r>
        <w:rPr>
          <w:b/>
        </w:rPr>
        <w:t>9.</w:t>
      </w:r>
      <w:r>
        <w:rPr>
          <w:b/>
        </w:rPr>
        <w:tab/>
      </w:r>
      <w:r>
        <w:rPr>
          <w:b/>
        </w:rPr>
        <w:tab/>
        <w:t xml:space="preserve">Bilaga 1, tillägg 2, punkt 7.3.7 </w:t>
      </w:r>
    </w:p>
    <w:p w:rsidR="00201785" w:rsidRPr="00C112D7" w:rsidRDefault="00201785" w:rsidP="00201785">
      <w:pPr>
        <w:pStyle w:val="SingleTxtG"/>
      </w:pPr>
      <w:r>
        <w:t xml:space="preserve">I rubriken och första stycket skall uttrycken ”inre skiljeväggar” ersättas med orden ”skiljeväggar”. </w:t>
      </w:r>
    </w:p>
    <w:p w:rsidR="00201785" w:rsidRDefault="00201785" w:rsidP="00201785">
      <w:pPr>
        <w:pStyle w:val="SingleTxtG"/>
        <w:rPr>
          <w:i/>
        </w:rPr>
      </w:pPr>
      <w:r>
        <w:tab/>
      </w:r>
      <w:r>
        <w:rPr>
          <w:i/>
        </w:rPr>
        <w:t>(Referensdokument: ECE/TRANS/WP.11/2022/20)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pPr>
      <w:r>
        <w:tab/>
      </w:r>
      <w:r>
        <w:rPr>
          <w:b/>
        </w:rPr>
        <w:t>10.</w:t>
      </w:r>
      <w:r>
        <w:rPr>
          <w:b/>
        </w:rPr>
        <w:tab/>
      </w:r>
      <w:r>
        <w:rPr>
          <w:b/>
        </w:rPr>
        <w:tab/>
        <w:t xml:space="preserve">Bilaga 1, tillägg 2, punkt 8, Modell 14 </w:t>
      </w:r>
    </w:p>
    <w:p w:rsidR="00201785" w:rsidRPr="00DD22D1" w:rsidRDefault="00201785" w:rsidP="00201785">
      <w:pPr>
        <w:pStyle w:val="SingleTxtG"/>
        <w:rPr>
          <w:lang w:val="fi-FI"/>
        </w:rPr>
      </w:pPr>
      <w:r>
        <w:t xml:space="preserve">Orden ”skiljeväggar” och ”skiljeväggarnas” skall ersättas med ”skiljeväggar” och ”skiljeväggarnas” (2 förekomster). </w:t>
      </w:r>
      <w:r w:rsidRPr="00DD22D1">
        <w:rPr>
          <w:lang w:val="fi-FI"/>
        </w:rPr>
        <w:t>[</w:t>
      </w:r>
      <w:r w:rsidRPr="00DD22D1">
        <w:rPr>
          <w:i/>
          <w:iCs/>
          <w:lang w:val="fi-FI"/>
        </w:rPr>
        <w:t>Kääntäjän huomautus: ei muutoksia ruotsinkieliseen tekstiin</w:t>
      </w:r>
      <w:r w:rsidRPr="00DD22D1">
        <w:rPr>
          <w:lang w:val="fi-FI"/>
        </w:rPr>
        <w:t xml:space="preserve">] </w:t>
      </w:r>
    </w:p>
    <w:p w:rsidR="00201785" w:rsidRPr="00DD22D1" w:rsidRDefault="00201785" w:rsidP="00201785">
      <w:pPr>
        <w:pStyle w:val="SingleTxtG"/>
        <w:rPr>
          <w:b/>
          <w:spacing w:val="4"/>
          <w:w w:val="103"/>
          <w:kern w:val="14"/>
          <w:lang w:val="fi-FI"/>
        </w:rPr>
      </w:pPr>
      <w:r w:rsidRPr="00DD22D1">
        <w:rPr>
          <w:lang w:val="fi-FI"/>
        </w:rPr>
        <w:tab/>
      </w:r>
      <w:r w:rsidRPr="00DD22D1">
        <w:rPr>
          <w:i/>
          <w:lang w:val="fi-FI"/>
        </w:rPr>
        <w:t>(</w:t>
      </w:r>
      <w:proofErr w:type="spellStart"/>
      <w:r w:rsidRPr="00DD22D1">
        <w:rPr>
          <w:i/>
          <w:lang w:val="fi-FI"/>
        </w:rPr>
        <w:t>Referensdokument</w:t>
      </w:r>
      <w:proofErr w:type="spellEnd"/>
      <w:r w:rsidRPr="00DD22D1">
        <w:rPr>
          <w:i/>
          <w:lang w:val="fi-FI"/>
        </w:rPr>
        <w:t>: ECE/TRANS/WP.11/2022/20)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pPr>
      <w:r w:rsidRPr="00DD22D1">
        <w:rPr>
          <w:lang w:val="fi-FI"/>
        </w:rPr>
        <w:tab/>
      </w:r>
      <w:r>
        <w:rPr>
          <w:b/>
        </w:rPr>
        <w:t>11.</w:t>
      </w:r>
      <w:r>
        <w:rPr>
          <w:b/>
        </w:rPr>
        <w:tab/>
      </w:r>
      <w:r>
        <w:rPr>
          <w:b/>
        </w:rPr>
        <w:tab/>
        <w:t>Bilaga 1, tillägg 2</w:t>
      </w:r>
    </w:p>
    <w:p w:rsidR="00201785" w:rsidRDefault="00201785" w:rsidP="00201785">
      <w:pPr>
        <w:pStyle w:val="SingleTxtG"/>
      </w:pPr>
      <w:r>
        <w:t xml:space="preserve">Tillägget kompletteras med en ny punkt 3.2.8 med följande lydelse: </w:t>
      </w:r>
    </w:p>
    <w:p w:rsidR="00201785" w:rsidRDefault="00201785" w:rsidP="00201785">
      <w:pPr>
        <w:pStyle w:val="SingleTxtG"/>
      </w:pPr>
      <w:r>
        <w:t>"3.2.8</w:t>
      </w:r>
      <w:r>
        <w:tab/>
        <w:t>Om kylanordningen med alla sina tillbehör har provats separat i syfte att fastställa volymen för luftcirkulationen och resultatet är godtagbart för den behöriga myndigheten, skall det föreskrivna minsta luftflödet i kylningsläge i såväl mekaniskt kyld utrustning som med fläktventilation försedd mekaniskt kyld och uppvärmd utrustning överensstämma med följande formel</w:t>
      </w:r>
      <w:r>
        <w:rPr>
          <w:vertAlign w:val="superscript"/>
        </w:rPr>
        <w:t>7</w:t>
      </w:r>
      <w:r>
        <w:t xml:space="preserve">: </w:t>
      </w:r>
    </w:p>
    <w:p w:rsidR="00201785" w:rsidRDefault="00201785" w:rsidP="00201785">
      <w:pPr>
        <w:pStyle w:val="SingleTxtG"/>
      </w:pPr>
      <w:r>
        <w:t>V̇</w:t>
      </w:r>
      <w:r>
        <w:rPr>
          <w:vertAlign w:val="subscript"/>
        </w:rPr>
        <w:t>L</w:t>
      </w:r>
      <w:r>
        <w:t xml:space="preserve"> = N·V  </w:t>
      </w:r>
    </w:p>
    <w:p w:rsidR="00201785" w:rsidRDefault="00201785" w:rsidP="00201785">
      <w:pPr>
        <w:pStyle w:val="SingleTxtG"/>
      </w:pPr>
      <w:r>
        <w:t>Där det minsta luftflödet V̇</w:t>
      </w:r>
      <w:r>
        <w:rPr>
          <w:vertAlign w:val="subscript"/>
        </w:rPr>
        <w:t>L</w:t>
      </w:r>
      <w:r>
        <w:t xml:space="preserve"> är antalet luftomsättningar per timme N multiplicerat med den tomma volymen V.</w:t>
      </w:r>
    </w:p>
    <w:p w:rsidR="00201785" w:rsidRDefault="00201785" w:rsidP="00201785">
      <w:pPr>
        <w:pStyle w:val="SingleTxtG"/>
      </w:pPr>
      <w:r>
        <w:t>Där N = 50</w:t>
      </w:r>
    </w:p>
    <w:p w:rsidR="00201785" w:rsidRDefault="00201785" w:rsidP="00201785">
      <w:pPr>
        <w:pStyle w:val="SingleTxtG"/>
      </w:pPr>
      <w:r>
        <w:t xml:space="preserve">Luftens volymflöde kan moduleras vid </w:t>
      </w:r>
      <w:proofErr w:type="spellStart"/>
      <w:r>
        <w:t>dellast</w:t>
      </w:r>
      <w:proofErr w:type="spellEnd"/>
      <w:r>
        <w:t xml:space="preserve"> så snart temperaturens </w:t>
      </w:r>
      <w:proofErr w:type="spellStart"/>
      <w:r>
        <w:t>börvärde</w:t>
      </w:r>
      <w:proofErr w:type="spellEnd"/>
      <w:r>
        <w:t xml:space="preserve"> har nåtts, och om klasstemperaturen nås behöver luftflödet inte vara konstant. </w:t>
      </w:r>
    </w:p>
    <w:p w:rsidR="00201785" w:rsidRDefault="00201785" w:rsidP="00201785">
      <w:pPr>
        <w:pStyle w:val="SingleTxtG"/>
      </w:pPr>
      <w:r>
        <w:t>Om V överstiger 60 m</w:t>
      </w:r>
      <w:r>
        <w:rPr>
          <w:vertAlign w:val="superscript"/>
        </w:rPr>
        <w:t>3</w:t>
      </w:r>
      <w:r>
        <w:t xml:space="preserve"> får V</w:t>
      </w:r>
      <w:r>
        <w:rPr>
          <w:vertAlign w:val="subscript"/>
        </w:rPr>
        <w:t>L</w:t>
      </w:r>
      <w:r>
        <w:t xml:space="preserve"> begränsas till minst 3 000 m</w:t>
      </w:r>
      <w:r>
        <w:rPr>
          <w:vertAlign w:val="superscript"/>
        </w:rPr>
        <w:t>3</w:t>
      </w:r>
      <w:r>
        <w:t xml:space="preserve"> per timme i fråga om containrar, skåpbilar och lastbilar</w:t>
      </w:r>
      <w:r>
        <w:rPr>
          <w:vertAlign w:val="superscript"/>
        </w:rPr>
        <w:t>8</w:t>
      </w:r>
      <w:r>
        <w:t xml:space="preserve">. </w:t>
      </w:r>
    </w:p>
    <w:p w:rsidR="00201785" w:rsidRDefault="00201785" w:rsidP="00201785">
      <w:pPr>
        <w:pStyle w:val="SingleTxtG"/>
      </w:pPr>
      <w:r>
        <w:t>Om V överstiger 100 m</w:t>
      </w:r>
      <w:r>
        <w:rPr>
          <w:vertAlign w:val="superscript"/>
        </w:rPr>
        <w:t>3</w:t>
      </w:r>
      <w:r>
        <w:t xml:space="preserve"> får V</w:t>
      </w:r>
      <w:r>
        <w:rPr>
          <w:vertAlign w:val="subscript"/>
        </w:rPr>
        <w:t>L</w:t>
      </w:r>
      <w:r>
        <w:t xml:space="preserve"> begränsas till minst 5000 m</w:t>
      </w:r>
      <w:r>
        <w:rPr>
          <w:vertAlign w:val="superscript"/>
        </w:rPr>
        <w:t>3</w:t>
      </w:r>
      <w:r>
        <w:t xml:space="preserve"> per timme.”</w:t>
      </w:r>
    </w:p>
    <w:p w:rsidR="00201785" w:rsidRDefault="00201785" w:rsidP="00201785">
      <w:pPr>
        <w:pStyle w:val="SingleTxtG"/>
      </w:pPr>
      <w:r>
        <w:t>Fotnoterna 7 och 8 har följande lydelse:</w:t>
      </w:r>
    </w:p>
    <w:p w:rsidR="00201785" w:rsidRDefault="00201785" w:rsidP="00201785">
      <w:pPr>
        <w:pStyle w:val="Alaviitteenteksti"/>
      </w:pPr>
      <w:r>
        <w:tab/>
      </w:r>
      <w:r>
        <w:tab/>
        <w:t xml:space="preserve">” </w:t>
      </w:r>
      <w:r>
        <w:rPr>
          <w:rStyle w:val="Alaviitteenviite"/>
        </w:rPr>
        <w:t>7</w:t>
      </w:r>
      <w:r>
        <w:t xml:space="preserve"> Gäller utrustning som tillverkats efter (DD MM ÅR)</w:t>
      </w:r>
    </w:p>
    <w:p w:rsidR="00201785" w:rsidRDefault="00201785" w:rsidP="00B73453">
      <w:pPr>
        <w:pStyle w:val="SingleTxtG"/>
      </w:pPr>
      <w:r>
        <w:t>”</w:t>
      </w:r>
      <w:r w:rsidR="00B73453">
        <w:t xml:space="preserve"> </w:t>
      </w:r>
      <w:r>
        <w:rPr>
          <w:rStyle w:val="Alaviitteenviite"/>
        </w:rPr>
        <w:t>8</w:t>
      </w:r>
      <w:r>
        <w:t xml:space="preserve"> Containrar kan vara </w:t>
      </w:r>
      <w:proofErr w:type="spellStart"/>
      <w:r w:rsidR="00126750">
        <w:t>avmonterbara</w:t>
      </w:r>
      <w:proofErr w:type="spellEnd"/>
      <w:r>
        <w:t xml:space="preserve"> karos</w:t>
      </w:r>
      <w:bookmarkStart w:id="0" w:name="_GoBack"/>
      <w:bookmarkEnd w:id="0"/>
      <w:r>
        <w:t>serier för lastbilar”</w:t>
      </w:r>
    </w:p>
    <w:p w:rsidR="00201785" w:rsidRDefault="00201785" w:rsidP="00201785">
      <w:pPr>
        <w:pStyle w:val="SingleTxtG"/>
        <w:rPr>
          <w:i/>
        </w:rPr>
      </w:pPr>
      <w:r>
        <w:tab/>
      </w:r>
      <w:r>
        <w:rPr>
          <w:i/>
        </w:rPr>
        <w:t>(Referensdokument: ECE/TRANS/WP.11/2022/16, ändrat genom det inofficiella dokumentet INF.10 med ändringar)</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pPr>
      <w:r>
        <w:tab/>
      </w:r>
      <w:r>
        <w:rPr>
          <w:b/>
        </w:rPr>
        <w:t>12.</w:t>
      </w:r>
      <w:r>
        <w:rPr>
          <w:b/>
        </w:rPr>
        <w:tab/>
      </w:r>
      <w:r>
        <w:rPr>
          <w:b/>
        </w:rPr>
        <w:tab/>
        <w:t>Bilaga 1, tillägg 2</w:t>
      </w:r>
    </w:p>
    <w:p w:rsidR="00201785" w:rsidRDefault="00201785" w:rsidP="00201785">
      <w:pPr>
        <w:pStyle w:val="SingleTxtG"/>
      </w:pPr>
      <w:r>
        <w:t xml:space="preserve">Till tillägget fogas en ny punkt 3.4.9 med följande lydelse: </w:t>
      </w:r>
    </w:p>
    <w:p w:rsidR="00201785" w:rsidRDefault="00201785" w:rsidP="00201785">
      <w:pPr>
        <w:pStyle w:val="SingleTxtG"/>
      </w:pPr>
      <w:r>
        <w:t>”3.4.9</w:t>
      </w:r>
      <w:r>
        <w:tab/>
        <w:t>Utrustningen skall uppfylla de i punkt 3.2.8 föreskrivna kraven på luftflödet i kylningsläge”</w:t>
      </w:r>
    </w:p>
    <w:p w:rsidR="00201785" w:rsidRDefault="00201785" w:rsidP="00201785">
      <w:pPr>
        <w:pStyle w:val="SingleTxtG"/>
        <w:rPr>
          <w:i/>
        </w:rPr>
      </w:pPr>
      <w:r>
        <w:tab/>
      </w:r>
      <w:r>
        <w:rPr>
          <w:i/>
        </w:rPr>
        <w:t>(Referensdokument: ECE/TRANS/WP.11/2022/16, ändrat genom det inofficiella dokumentet INF.10 med ändringar)</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pPr>
      <w:r>
        <w:tab/>
      </w:r>
      <w:r>
        <w:rPr>
          <w:b/>
        </w:rPr>
        <w:t>13.</w:t>
      </w:r>
      <w:r>
        <w:rPr>
          <w:b/>
        </w:rPr>
        <w:tab/>
      </w:r>
      <w:r>
        <w:rPr>
          <w:b/>
        </w:rPr>
        <w:tab/>
        <w:t>Bilaga 1, tillägg 2, punkt 7.3.1</w:t>
      </w:r>
    </w:p>
    <w:p w:rsidR="00201785" w:rsidRDefault="00201785" w:rsidP="00201785">
      <w:pPr>
        <w:pStyle w:val="SingleTxtG"/>
      </w:pPr>
      <w:r>
        <w:t xml:space="preserve">Till punkten fogas i slutet en ny strecksats med följande lydelse: </w:t>
      </w:r>
    </w:p>
    <w:p w:rsidR="00201785" w:rsidRDefault="00201785" w:rsidP="00201785">
      <w:pPr>
        <w:pStyle w:val="SingleTxtG"/>
      </w:pPr>
      <w:r>
        <w:t>”- Utrustningen skall uppfylla de i punkt 3.2.8 föreskrivna kraven på luftflödet i kylningsläge.”</w:t>
      </w:r>
    </w:p>
    <w:p w:rsidR="00201785" w:rsidRDefault="00201785" w:rsidP="00201785">
      <w:pPr>
        <w:pStyle w:val="SingleTxtG"/>
        <w:rPr>
          <w:i/>
        </w:rPr>
      </w:pPr>
      <w:r>
        <w:tab/>
      </w:r>
      <w:r>
        <w:rPr>
          <w:i/>
        </w:rPr>
        <w:t>(Referensdokument: ECE/TRANS/WP.11/2022/16, ändrat genom det inofficiella dokumentet INF.10 med ändringar)</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pPr>
      <w:r>
        <w:tab/>
      </w:r>
      <w:r>
        <w:rPr>
          <w:b/>
        </w:rPr>
        <w:t>14.</w:t>
      </w:r>
      <w:r>
        <w:rPr>
          <w:b/>
        </w:rPr>
        <w:tab/>
      </w:r>
      <w:r>
        <w:rPr>
          <w:b/>
        </w:rPr>
        <w:tab/>
        <w:t xml:space="preserve">Bilaga 1, tillägg 3 </w:t>
      </w:r>
    </w:p>
    <w:p w:rsidR="00201785" w:rsidRDefault="00201785" w:rsidP="00201785">
      <w:pPr>
        <w:pStyle w:val="SingleTxtG"/>
      </w:pPr>
      <w:r>
        <w:t>Till modellformuläret för certifikat om överensstämmelse för utrustning fogas en ny punkt 7.2.6 med följande lydelse:</w:t>
      </w:r>
    </w:p>
    <w:p w:rsidR="00201785" w:rsidRDefault="00201785" w:rsidP="00201785">
      <w:pPr>
        <w:pStyle w:val="SingleTxtG"/>
      </w:pPr>
      <w:r>
        <w:t>”7.2.6</w:t>
      </w:r>
      <w:r>
        <w:tab/>
      </w:r>
      <w:r>
        <w:tab/>
        <w:t>XX luftomsättningar per timme”</w:t>
      </w:r>
    </w:p>
    <w:p w:rsidR="00201785" w:rsidRDefault="00201785" w:rsidP="00201785">
      <w:pPr>
        <w:pStyle w:val="SingleTxtG"/>
        <w:rPr>
          <w:i/>
        </w:rPr>
      </w:pPr>
      <w:r>
        <w:tab/>
      </w:r>
      <w:r>
        <w:rPr>
          <w:i/>
        </w:rPr>
        <w:t>(Referensdokument: ECE/TRANS/WP.11/2022/16, ändrat genom det inofficiella dokumentet INF.10 med ändringar)</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pPr>
      <w:r>
        <w:tab/>
      </w:r>
      <w:r>
        <w:rPr>
          <w:b/>
        </w:rPr>
        <w:t>15.</w:t>
      </w:r>
      <w:r>
        <w:rPr>
          <w:b/>
        </w:rPr>
        <w:tab/>
      </w:r>
      <w:r>
        <w:rPr>
          <w:b/>
        </w:rPr>
        <w:tab/>
        <w:t xml:space="preserve">Bilaga 1, tillägg 3 </w:t>
      </w:r>
    </w:p>
    <w:p w:rsidR="00201785" w:rsidRPr="00780517" w:rsidRDefault="00201785" w:rsidP="00201785">
      <w:pPr>
        <w:pStyle w:val="SingleTxtG"/>
      </w:pPr>
      <w:r>
        <w:t>Efter fotnot 11 införs en ny fotnot 11 med följande lydelse:</w:t>
      </w:r>
    </w:p>
    <w:p w:rsidR="00201785" w:rsidRPr="00061658" w:rsidRDefault="00201785" w:rsidP="00201785">
      <w:pPr>
        <w:pStyle w:val="Alaviitteenteksti"/>
        <w:tabs>
          <w:tab w:val="clear" w:pos="1021"/>
          <w:tab w:val="right" w:pos="1134"/>
        </w:tabs>
        <w:spacing w:after="240"/>
        <w:ind w:firstLine="0"/>
        <w:rPr>
          <w:sz w:val="20"/>
        </w:rPr>
      </w:pPr>
      <w:r>
        <w:rPr>
          <w:sz w:val="20"/>
        </w:rPr>
        <w:t xml:space="preserve">” </w:t>
      </w:r>
      <w:r>
        <w:rPr>
          <w:rStyle w:val="Alaviitteenviite"/>
          <w:sz w:val="20"/>
        </w:rPr>
        <w:t>11</w:t>
      </w:r>
      <w:r>
        <w:rPr>
          <w:sz w:val="20"/>
        </w:rPr>
        <w:t xml:space="preserve">  Där XX är antalet luftomsättningar per timme beräknat genom att det totala luftflödet i cirkulationsfläktarna divideras med utrustningens totala inre volym. I fråga om utrustning med flera fack som är försedd med flyttbara skiljeväggar skall det totala luftflödet i cirkulationsfläktarna divideras med den maximala inre volymen för varje fack."</w:t>
      </w:r>
    </w:p>
    <w:p w:rsidR="00201785" w:rsidRPr="00780517" w:rsidRDefault="00201785" w:rsidP="00201785">
      <w:pPr>
        <w:pStyle w:val="SingleTxtG"/>
        <w:rPr>
          <w:i/>
        </w:rPr>
      </w:pPr>
      <w:r>
        <w:tab/>
      </w:r>
      <w:r>
        <w:rPr>
          <w:i/>
        </w:rPr>
        <w:t>(Referensdokument: ECE/TRANS/WP.11/2022/16, ändrat genom det inofficiella dokumentet INF.10 med ändringar)</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pPr>
      <w:r>
        <w:tab/>
      </w:r>
      <w:r>
        <w:rPr>
          <w:b/>
        </w:rPr>
        <w:t>16.</w:t>
      </w:r>
      <w:r>
        <w:rPr>
          <w:b/>
        </w:rPr>
        <w:tab/>
      </w:r>
      <w:r>
        <w:rPr>
          <w:b/>
        </w:rPr>
        <w:tab/>
        <w:t xml:space="preserve">Bilaga 1, tillägg 3 </w:t>
      </w:r>
    </w:p>
    <w:p w:rsidR="00201785" w:rsidRPr="00780517" w:rsidRDefault="00201785" w:rsidP="00201785">
      <w:pPr>
        <w:pStyle w:val="SingleTxtG"/>
      </w:pPr>
      <w:r>
        <w:t>Fotnoterna 11–15 numreras om till fotnoter 12–16.</w:t>
      </w:r>
    </w:p>
    <w:p w:rsidR="00201785" w:rsidRPr="00780517" w:rsidRDefault="00201785" w:rsidP="00201785">
      <w:pPr>
        <w:pStyle w:val="SingleTxtG"/>
        <w:rPr>
          <w:i/>
        </w:rPr>
      </w:pPr>
      <w:r>
        <w:tab/>
      </w:r>
      <w:r>
        <w:rPr>
          <w:i/>
        </w:rPr>
        <w:t>(Referensdokument: ECE/TRANS/WP.11/2022/16, ändrat genom det inofficiella dokumentet INF.10 med ändringar)</w:t>
      </w:r>
    </w:p>
    <w:p w:rsidR="00201785" w:rsidRPr="00260A08" w:rsidRDefault="00201785" w:rsidP="00201785">
      <w:pPr>
        <w:pStyle w:val="HChG"/>
        <w:rPr>
          <w:i/>
          <w:sz w:val="20"/>
        </w:rPr>
      </w:pPr>
    </w:p>
    <w:p w:rsidR="00201785" w:rsidRPr="00201785" w:rsidRDefault="00201785" w:rsidP="00201785">
      <w:r>
        <w:br w:type="page"/>
      </w:r>
    </w:p>
    <w:p w:rsidR="00201785" w:rsidRDefault="00201785" w:rsidP="00201785">
      <w:pPr>
        <w:pStyle w:val="HChG"/>
      </w:pPr>
      <w:r>
        <w:t>Bilaga III</w:t>
      </w:r>
    </w:p>
    <w:p w:rsidR="00201785" w:rsidRPr="00201785" w:rsidRDefault="00201785" w:rsidP="00201785">
      <w:pPr>
        <w:jc w:val="right"/>
      </w:pPr>
      <w:r>
        <w:t>[Originalspråk: engelska och franska]</w:t>
      </w:r>
    </w:p>
    <w:p w:rsidR="00201785" w:rsidRDefault="00201785" w:rsidP="00201785">
      <w:pPr>
        <w:pStyle w:val="HChG"/>
      </w:pPr>
      <w:r>
        <w:rPr>
          <w:b w:val="0"/>
        </w:rPr>
        <w:tab/>
      </w:r>
      <w:r>
        <w:rPr>
          <w:b w:val="0"/>
        </w:rPr>
        <w:tab/>
      </w:r>
      <w:r>
        <w:t>Tillägg till publikationen ATP handbok</w:t>
      </w:r>
    </w:p>
    <w:p w:rsidR="00201785" w:rsidRPr="00FF635E" w:rsidRDefault="00201785" w:rsidP="00201785">
      <w:pPr>
        <w:keepNext/>
        <w:keepLines/>
        <w:tabs>
          <w:tab w:val="right" w:pos="851"/>
        </w:tabs>
        <w:spacing w:before="240" w:after="120" w:line="240" w:lineRule="exact"/>
        <w:ind w:left="1134" w:right="1134" w:hanging="1134"/>
        <w:rPr>
          <w:rFonts w:asciiTheme="majorBidi" w:hAnsiTheme="majorBidi" w:cstheme="majorBidi"/>
          <w:b/>
          <w:spacing w:val="4"/>
          <w:w w:val="103"/>
          <w:kern w:val="14"/>
        </w:rPr>
      </w:pPr>
      <w:r>
        <w:rPr>
          <w:rFonts w:asciiTheme="majorBidi" w:hAnsiTheme="majorBidi"/>
        </w:rPr>
        <w:tab/>
      </w:r>
      <w:r>
        <w:rPr>
          <w:rFonts w:asciiTheme="majorBidi" w:hAnsiTheme="majorBidi"/>
          <w:b/>
        </w:rPr>
        <w:t>1.</w:t>
      </w:r>
      <w:r>
        <w:rPr>
          <w:rFonts w:asciiTheme="majorBidi" w:hAnsiTheme="majorBidi"/>
          <w:b/>
        </w:rPr>
        <w:tab/>
      </w:r>
      <w:r>
        <w:rPr>
          <w:rFonts w:asciiTheme="majorBidi" w:hAnsiTheme="majorBidi"/>
          <w:b/>
        </w:rPr>
        <w:tab/>
        <w:t xml:space="preserve">Bilaga 1, tillägg 2, punkt 1.2 </w:t>
      </w:r>
    </w:p>
    <w:p w:rsidR="00201785" w:rsidRPr="00FF635E" w:rsidRDefault="00201785" w:rsidP="00201785">
      <w:pPr>
        <w:pStyle w:val="SingleTxtG"/>
        <w:rPr>
          <w:rFonts w:asciiTheme="majorBidi" w:hAnsiTheme="majorBidi" w:cstheme="majorBidi"/>
        </w:rPr>
      </w:pPr>
      <w:r>
        <w:rPr>
          <w:rFonts w:asciiTheme="majorBidi" w:hAnsiTheme="majorBidi"/>
        </w:rPr>
        <w:t xml:space="preserve">I tabellen för metod A skall ordet ”skiljevägg” ersättas med ordet ”skiljeväggar”. </w:t>
      </w:r>
    </w:p>
    <w:p w:rsidR="00201785" w:rsidRPr="00FF635E" w:rsidRDefault="00201785" w:rsidP="00201785">
      <w:pPr>
        <w:pStyle w:val="SingleTxtG"/>
        <w:rPr>
          <w:rFonts w:asciiTheme="majorBidi" w:hAnsiTheme="majorBidi" w:cstheme="majorBidi"/>
          <w:i/>
        </w:rPr>
      </w:pPr>
      <w:r>
        <w:tab/>
      </w:r>
      <w:r>
        <w:rPr>
          <w:rFonts w:asciiTheme="majorBidi" w:hAnsiTheme="majorBidi"/>
          <w:i/>
        </w:rPr>
        <w:t>(Referensdokument: ECE/TRANS/WP.11/2022/20)</w:t>
      </w:r>
    </w:p>
    <w:p w:rsidR="00201785" w:rsidRPr="00FF635E" w:rsidRDefault="00201785" w:rsidP="00201785">
      <w:pPr>
        <w:keepNext/>
        <w:keepLines/>
        <w:tabs>
          <w:tab w:val="right" w:pos="851"/>
        </w:tabs>
        <w:spacing w:before="240" w:after="120" w:line="240" w:lineRule="exact"/>
        <w:ind w:left="1134" w:right="1134" w:hanging="1134"/>
        <w:rPr>
          <w:rFonts w:asciiTheme="majorBidi" w:hAnsiTheme="majorBidi" w:cstheme="majorBidi"/>
          <w:b/>
          <w:spacing w:val="4"/>
          <w:w w:val="103"/>
          <w:kern w:val="14"/>
        </w:rPr>
      </w:pPr>
      <w:r>
        <w:rPr>
          <w:rFonts w:asciiTheme="majorBidi" w:hAnsiTheme="majorBidi"/>
        </w:rPr>
        <w:tab/>
      </w:r>
      <w:r>
        <w:rPr>
          <w:rFonts w:asciiTheme="majorBidi" w:hAnsiTheme="majorBidi"/>
          <w:b/>
        </w:rPr>
        <w:t>2.</w:t>
      </w:r>
      <w:r>
        <w:rPr>
          <w:rFonts w:asciiTheme="majorBidi" w:hAnsiTheme="majorBidi"/>
          <w:b/>
        </w:rPr>
        <w:tab/>
      </w:r>
      <w:r>
        <w:rPr>
          <w:rFonts w:asciiTheme="majorBidi" w:hAnsiTheme="majorBidi"/>
          <w:b/>
        </w:rPr>
        <w:tab/>
        <w:t xml:space="preserve">Bilaga 1, tillägg 2 </w:t>
      </w:r>
    </w:p>
    <w:p w:rsidR="00201785" w:rsidRPr="00FF635E" w:rsidRDefault="00201785" w:rsidP="00201785">
      <w:pPr>
        <w:pStyle w:val="SingleTxtG"/>
        <w:rPr>
          <w:rFonts w:asciiTheme="majorBidi" w:hAnsiTheme="majorBidi" w:cstheme="majorBidi"/>
        </w:rPr>
      </w:pPr>
      <w:r>
        <w:rPr>
          <w:rFonts w:asciiTheme="majorBidi" w:hAnsiTheme="majorBidi"/>
        </w:rPr>
        <w:t>Efter punkt 3.2.8 fogas en ny kommentar med följande lydelse:</w:t>
      </w:r>
    </w:p>
    <w:p w:rsidR="00201785" w:rsidRPr="00FF635E" w:rsidRDefault="00201785" w:rsidP="00201785">
      <w:pPr>
        <w:pStyle w:val="SingleTxtG"/>
        <w:rPr>
          <w:rFonts w:asciiTheme="majorBidi" w:hAnsiTheme="majorBidi" w:cstheme="majorBidi"/>
        </w:rPr>
      </w:pPr>
      <w:r>
        <w:rPr>
          <w:rFonts w:asciiTheme="majorBidi" w:hAnsiTheme="majorBidi"/>
        </w:rPr>
        <w:t xml:space="preserve">”Luftflöde är en väsentlig parameter vid </w:t>
      </w:r>
      <w:proofErr w:type="spellStart"/>
      <w:r>
        <w:rPr>
          <w:rFonts w:asciiTheme="majorBidi" w:hAnsiTheme="majorBidi"/>
        </w:rPr>
        <w:t>temperaturreglerade</w:t>
      </w:r>
      <w:proofErr w:type="spellEnd"/>
      <w:r>
        <w:rPr>
          <w:rFonts w:asciiTheme="majorBidi" w:hAnsiTheme="majorBidi"/>
        </w:rPr>
        <w:t xml:space="preserve"> transporter. </w:t>
      </w:r>
    </w:p>
    <w:p w:rsidR="00201785" w:rsidRPr="00FF635E" w:rsidRDefault="00201785" w:rsidP="00201785">
      <w:pPr>
        <w:pStyle w:val="SingleTxtG"/>
        <w:rPr>
          <w:rFonts w:asciiTheme="majorBidi" w:hAnsiTheme="majorBidi" w:cstheme="majorBidi"/>
        </w:rPr>
      </w:pPr>
      <w:r>
        <w:rPr>
          <w:rFonts w:asciiTheme="majorBidi" w:hAnsiTheme="majorBidi"/>
        </w:rPr>
        <w:t>Vid transport av fryst last bör luftflödet vara litet för att undvika uttorkning men tillräckligt stort för att avlägsna värme som kommer genom de isolerade väggarna. Tilluften får avvika nedåt från börtemperaturen för att värme skall kunna avlägsnas utan att produkten skadas. Kyld last kräver ett större luftflöde för att säkerställa en god värmefördelning och även för att tilluftstemperaturen inte kan tillåtas avvika avsevärt nedåt från börtemperaturen på grund av risken för frys- eller kylskador. Vissa kylda laster är metaboliskt aktiva och kräver därför ett större luftflöde för att avlägsna denna värme.</w:t>
      </w:r>
    </w:p>
    <w:p w:rsidR="00201785" w:rsidRPr="00FF635E" w:rsidRDefault="00201785" w:rsidP="00201785">
      <w:pPr>
        <w:pStyle w:val="SingleTxtG"/>
        <w:rPr>
          <w:rFonts w:asciiTheme="majorBidi" w:hAnsiTheme="majorBidi" w:cstheme="majorBidi"/>
        </w:rPr>
      </w:pPr>
      <w:r>
        <w:rPr>
          <w:rFonts w:asciiTheme="majorBidi" w:hAnsiTheme="majorBidi"/>
        </w:rPr>
        <w:t xml:space="preserve">Intermittent fläktdrift får inte användas för känslig last, där temperaturen måste fördelas exakt. I regel skall drift av enheten med start-/stoppfunktion så att </w:t>
      </w:r>
      <w:proofErr w:type="spellStart"/>
      <w:r>
        <w:rPr>
          <w:rFonts w:asciiTheme="majorBidi" w:hAnsiTheme="majorBidi"/>
        </w:rPr>
        <w:t>förångarens</w:t>
      </w:r>
      <w:proofErr w:type="spellEnd"/>
      <w:r>
        <w:rPr>
          <w:rFonts w:asciiTheme="majorBidi" w:hAnsiTheme="majorBidi"/>
        </w:rPr>
        <w:t xml:space="preserve"> fläktar/</w:t>
      </w:r>
      <w:proofErr w:type="spellStart"/>
      <w:r>
        <w:rPr>
          <w:rFonts w:asciiTheme="majorBidi" w:hAnsiTheme="majorBidi"/>
        </w:rPr>
        <w:t>förångaren</w:t>
      </w:r>
      <w:proofErr w:type="spellEnd"/>
      <w:r>
        <w:rPr>
          <w:rFonts w:asciiTheme="majorBidi" w:hAnsiTheme="majorBidi"/>
        </w:rPr>
        <w:t xml:space="preserve"> körs i cyklisk drift endast få användas vid transport av frysta varor.</w:t>
      </w:r>
    </w:p>
    <w:p w:rsidR="00201785" w:rsidRPr="00FF635E" w:rsidRDefault="00201785" w:rsidP="00201785">
      <w:pPr>
        <w:pStyle w:val="SingleTxtG"/>
        <w:spacing w:after="0"/>
        <w:rPr>
          <w:rFonts w:asciiTheme="majorBidi" w:hAnsiTheme="majorBidi" w:cstheme="majorBidi"/>
        </w:rPr>
      </w:pPr>
      <w:r>
        <w:rPr>
          <w:rFonts w:asciiTheme="majorBidi" w:hAnsiTheme="majorBidi"/>
        </w:rPr>
        <w:t>Tabell 1</w:t>
      </w:r>
    </w:p>
    <w:p w:rsidR="00201785" w:rsidRPr="00201785" w:rsidRDefault="00201785" w:rsidP="00201785">
      <w:pPr>
        <w:keepNext/>
        <w:keepLines/>
        <w:spacing w:after="120"/>
        <w:ind w:left="1134" w:right="1133"/>
        <w:jc w:val="both"/>
        <w:rPr>
          <w:rFonts w:asciiTheme="majorBidi" w:hAnsiTheme="majorBidi" w:cstheme="majorBidi"/>
          <w:b/>
          <w:bCs/>
        </w:rPr>
      </w:pPr>
      <w:r>
        <w:rPr>
          <w:rFonts w:asciiTheme="majorBidi" w:hAnsiTheme="majorBidi"/>
          <w:b/>
        </w:rPr>
        <w:t>Exempel på luftflödeskrav i fråga om värmekänsliga varor</w:t>
      </w:r>
    </w:p>
    <w:tbl>
      <w:tblPr>
        <w:tblW w:w="7370" w:type="dxa"/>
        <w:tblInd w:w="1134" w:type="dxa"/>
        <w:tblLayout w:type="fixed"/>
        <w:tblCellMar>
          <w:left w:w="0" w:type="dxa"/>
          <w:right w:w="0" w:type="dxa"/>
        </w:tblCellMar>
        <w:tblLook w:val="04A0" w:firstRow="1" w:lastRow="0" w:firstColumn="1" w:lastColumn="0" w:noHBand="0" w:noVBand="1"/>
      </w:tblPr>
      <w:tblGrid>
        <w:gridCol w:w="1736"/>
        <w:gridCol w:w="293"/>
        <w:gridCol w:w="514"/>
        <w:gridCol w:w="1096"/>
        <w:gridCol w:w="514"/>
        <w:gridCol w:w="1073"/>
        <w:gridCol w:w="11"/>
        <w:gridCol w:w="760"/>
        <w:gridCol w:w="1373"/>
      </w:tblGrid>
      <w:tr w:rsidR="00201785" w:rsidRPr="00201785" w:rsidTr="00194D0B">
        <w:trPr>
          <w:tblHeader/>
        </w:trPr>
        <w:tc>
          <w:tcPr>
            <w:tcW w:w="2029" w:type="dxa"/>
            <w:gridSpan w:val="2"/>
            <w:tcBorders>
              <w:top w:val="single" w:sz="4" w:space="0" w:color="auto"/>
              <w:bottom w:val="single" w:sz="12" w:space="0" w:color="auto"/>
            </w:tcBorders>
            <w:shd w:val="clear" w:color="auto" w:fill="auto"/>
            <w:vAlign w:val="bottom"/>
            <w:hideMark/>
          </w:tcPr>
          <w:p w:rsidR="00201785" w:rsidRPr="00FF635E" w:rsidRDefault="00201785" w:rsidP="00194D0B">
            <w:pPr>
              <w:autoSpaceDE w:val="0"/>
              <w:autoSpaceDN w:val="0"/>
              <w:adjustRightInd w:val="0"/>
              <w:spacing w:before="80" w:after="80" w:line="200" w:lineRule="exact"/>
              <w:rPr>
                <w:rFonts w:asciiTheme="majorBidi" w:hAnsiTheme="majorBidi" w:cstheme="majorBidi"/>
                <w:bCs/>
                <w:i/>
              </w:rPr>
            </w:pPr>
            <w:r>
              <w:rPr>
                <w:rFonts w:asciiTheme="majorBidi" w:hAnsiTheme="majorBidi"/>
                <w:i/>
              </w:rPr>
              <w:t>Typ av varor</w:t>
            </w:r>
          </w:p>
        </w:tc>
        <w:tc>
          <w:tcPr>
            <w:tcW w:w="514" w:type="dxa"/>
            <w:tcBorders>
              <w:top w:val="single" w:sz="4" w:space="0" w:color="auto"/>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80" w:after="80" w:line="200" w:lineRule="exact"/>
              <w:jc w:val="right"/>
              <w:rPr>
                <w:rFonts w:asciiTheme="majorBidi" w:hAnsiTheme="majorBidi" w:cstheme="majorBidi"/>
                <w:bCs/>
                <w:i/>
              </w:rPr>
            </w:pPr>
            <w:r>
              <w:rPr>
                <w:rFonts w:asciiTheme="majorBidi" w:hAnsiTheme="majorBidi"/>
                <w:i/>
                <w:noProof/>
                <w:lang w:val="fi-FI" w:eastAsia="fi-FI"/>
              </w:rPr>
              <w:drawing>
                <wp:inline distT="0" distB="0" distL="0" distR="0" wp14:anchorId="253EDD0F" wp14:editId="77B344B0">
                  <wp:extent cx="180975" cy="2476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p>
        </w:tc>
        <w:tc>
          <w:tcPr>
            <w:tcW w:w="1096" w:type="dxa"/>
            <w:tcBorders>
              <w:top w:val="single" w:sz="4" w:space="0" w:color="auto"/>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80" w:after="80" w:line="200" w:lineRule="exact"/>
              <w:jc w:val="right"/>
              <w:rPr>
                <w:rFonts w:asciiTheme="majorBidi" w:hAnsiTheme="majorBidi" w:cstheme="majorBidi"/>
                <w:bCs/>
                <w:i/>
              </w:rPr>
            </w:pPr>
            <w:r>
              <w:rPr>
                <w:rFonts w:asciiTheme="majorBidi" w:hAnsiTheme="majorBidi"/>
                <w:i/>
              </w:rPr>
              <w:t>Temperaturintervall</w:t>
            </w:r>
          </w:p>
          <w:p w:rsidR="00201785" w:rsidRPr="00B649C0" w:rsidRDefault="00201785" w:rsidP="00194D0B">
            <w:pPr>
              <w:autoSpaceDE w:val="0"/>
              <w:autoSpaceDN w:val="0"/>
              <w:adjustRightInd w:val="0"/>
              <w:spacing w:before="80" w:after="80" w:line="200" w:lineRule="exact"/>
              <w:jc w:val="right"/>
              <w:rPr>
                <w:rFonts w:asciiTheme="majorBidi" w:hAnsiTheme="majorBidi" w:cstheme="majorBidi"/>
                <w:bCs/>
                <w:i/>
              </w:rPr>
            </w:pPr>
            <w:r>
              <w:rPr>
                <w:rFonts w:asciiTheme="majorBidi" w:hAnsiTheme="majorBidi"/>
                <w:i/>
              </w:rPr>
              <w:t>[°C]</w:t>
            </w:r>
          </w:p>
        </w:tc>
        <w:tc>
          <w:tcPr>
            <w:tcW w:w="514" w:type="dxa"/>
            <w:tcBorders>
              <w:top w:val="single" w:sz="4" w:space="0" w:color="auto"/>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80" w:after="80" w:line="200" w:lineRule="exact"/>
              <w:jc w:val="right"/>
              <w:rPr>
                <w:rFonts w:asciiTheme="majorBidi" w:hAnsiTheme="majorBidi" w:cstheme="majorBidi"/>
                <w:bCs/>
                <w:i/>
              </w:rPr>
            </w:pPr>
            <w:r>
              <w:rPr>
                <w:rFonts w:asciiTheme="majorBidi" w:hAnsiTheme="majorBidi"/>
                <w:i/>
                <w:noProof/>
                <w:lang w:val="fi-FI" w:eastAsia="fi-FI"/>
              </w:rPr>
              <w:drawing>
                <wp:inline distT="0" distB="0" distL="0" distR="0" wp14:anchorId="335F15A4" wp14:editId="61CDF83D">
                  <wp:extent cx="190500" cy="247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p>
        </w:tc>
        <w:tc>
          <w:tcPr>
            <w:tcW w:w="1084" w:type="dxa"/>
            <w:gridSpan w:val="2"/>
            <w:tcBorders>
              <w:top w:val="single" w:sz="4" w:space="0" w:color="auto"/>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80" w:after="80" w:line="200" w:lineRule="exact"/>
              <w:jc w:val="right"/>
              <w:rPr>
                <w:rFonts w:asciiTheme="majorBidi" w:hAnsiTheme="majorBidi" w:cstheme="majorBidi"/>
                <w:bCs/>
                <w:i/>
              </w:rPr>
            </w:pPr>
            <w:r>
              <w:rPr>
                <w:rFonts w:asciiTheme="majorBidi" w:hAnsiTheme="majorBidi"/>
                <w:i/>
              </w:rPr>
              <w:t xml:space="preserve">Känslighet </w:t>
            </w:r>
            <w:r>
              <w:rPr>
                <w:rFonts w:asciiTheme="majorBidi" w:hAnsiTheme="majorBidi"/>
                <w:i/>
              </w:rPr>
              <w:br/>
              <w:t>för</w:t>
            </w:r>
            <w:r>
              <w:rPr>
                <w:rFonts w:asciiTheme="majorBidi" w:hAnsiTheme="majorBidi"/>
              </w:rPr>
              <w:t xml:space="preserve"> </w:t>
            </w:r>
            <w:r>
              <w:rPr>
                <w:rFonts w:asciiTheme="majorBidi" w:hAnsiTheme="majorBidi"/>
                <w:i/>
              </w:rPr>
              <w:t>fukt</w:t>
            </w:r>
          </w:p>
        </w:tc>
        <w:tc>
          <w:tcPr>
            <w:tcW w:w="760" w:type="dxa"/>
            <w:tcBorders>
              <w:top w:val="single" w:sz="4" w:space="0" w:color="auto"/>
              <w:bottom w:val="single" w:sz="12" w:space="0" w:color="auto"/>
            </w:tcBorders>
            <w:shd w:val="clear" w:color="auto" w:fill="auto"/>
            <w:vAlign w:val="bottom"/>
            <w:hideMark/>
          </w:tcPr>
          <w:p w:rsidR="00201785" w:rsidRPr="00FF635E" w:rsidRDefault="00201785" w:rsidP="00194D0B">
            <w:pPr>
              <w:autoSpaceDE w:val="0"/>
              <w:autoSpaceDN w:val="0"/>
              <w:adjustRightInd w:val="0"/>
              <w:spacing w:before="80" w:after="80" w:line="200" w:lineRule="exact"/>
              <w:jc w:val="right"/>
              <w:rPr>
                <w:rFonts w:asciiTheme="majorBidi" w:hAnsiTheme="majorBidi" w:cstheme="majorBidi"/>
                <w:bCs/>
                <w:i/>
              </w:rPr>
            </w:pPr>
            <w:r>
              <w:rPr>
                <w:rFonts w:asciiTheme="majorBidi" w:hAnsiTheme="majorBidi"/>
                <w:i/>
                <w:noProof/>
                <w:lang w:val="fi-FI" w:eastAsia="fi-FI"/>
              </w:rPr>
              <w:drawing>
                <wp:inline distT="0" distB="0" distL="0" distR="0" wp14:anchorId="35B916D3" wp14:editId="18AD6E41">
                  <wp:extent cx="247650" cy="209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p>
        </w:tc>
        <w:tc>
          <w:tcPr>
            <w:tcW w:w="1373" w:type="dxa"/>
            <w:tcBorders>
              <w:top w:val="single" w:sz="4" w:space="0" w:color="auto"/>
              <w:bottom w:val="single" w:sz="12" w:space="0" w:color="auto"/>
            </w:tcBorders>
            <w:shd w:val="clear" w:color="auto" w:fill="auto"/>
            <w:vAlign w:val="bottom"/>
            <w:hideMark/>
          </w:tcPr>
          <w:p w:rsidR="00201785" w:rsidRPr="00201785" w:rsidRDefault="00201785" w:rsidP="00194D0B">
            <w:pPr>
              <w:autoSpaceDE w:val="0"/>
              <w:autoSpaceDN w:val="0"/>
              <w:adjustRightInd w:val="0"/>
              <w:spacing w:before="80" w:after="80" w:line="200" w:lineRule="exact"/>
              <w:jc w:val="right"/>
              <w:rPr>
                <w:rFonts w:asciiTheme="majorBidi" w:hAnsiTheme="majorBidi" w:cstheme="majorBidi"/>
                <w:bCs/>
                <w:i/>
              </w:rPr>
            </w:pPr>
            <w:r>
              <w:rPr>
                <w:rFonts w:asciiTheme="majorBidi" w:hAnsiTheme="majorBidi"/>
                <w:i/>
              </w:rPr>
              <w:t>Rekommenderad luftomsättning [oms/h]</w:t>
            </w:r>
          </w:p>
        </w:tc>
      </w:tr>
      <w:tr w:rsidR="00201785" w:rsidRPr="00FF635E" w:rsidTr="00194D0B">
        <w:tc>
          <w:tcPr>
            <w:tcW w:w="1736" w:type="dxa"/>
            <w:tcBorders>
              <w:top w:val="single" w:sz="12" w:space="0" w:color="auto"/>
            </w:tcBorders>
            <w:shd w:val="clear" w:color="auto" w:fill="auto"/>
            <w:hideMark/>
          </w:tcPr>
          <w:p w:rsidR="00201785" w:rsidRPr="00B649C0" w:rsidRDefault="00201785" w:rsidP="00194D0B">
            <w:pPr>
              <w:autoSpaceDE w:val="0"/>
              <w:autoSpaceDN w:val="0"/>
              <w:adjustRightInd w:val="0"/>
              <w:spacing w:before="40" w:after="40" w:line="220" w:lineRule="exact"/>
              <w:rPr>
                <w:rFonts w:asciiTheme="majorBidi" w:hAnsiTheme="majorBidi" w:cstheme="majorBidi"/>
                <w:b/>
              </w:rPr>
            </w:pPr>
            <w:r>
              <w:rPr>
                <w:rFonts w:asciiTheme="majorBidi" w:hAnsiTheme="majorBidi"/>
                <w:b/>
              </w:rPr>
              <w:t>Upphängt kött</w:t>
            </w:r>
          </w:p>
        </w:tc>
        <w:tc>
          <w:tcPr>
            <w:tcW w:w="293" w:type="dxa"/>
            <w:tcBorders>
              <w:top w:val="single" w:sz="12" w:space="0" w:color="auto"/>
            </w:tcBorders>
            <w:shd w:val="clear" w:color="auto" w:fill="auto"/>
          </w:tcPr>
          <w:p w:rsidR="00201785" w:rsidRPr="00B649C0" w:rsidRDefault="00201785" w:rsidP="00194D0B">
            <w:pPr>
              <w:autoSpaceDE w:val="0"/>
              <w:autoSpaceDN w:val="0"/>
              <w:adjustRightInd w:val="0"/>
              <w:spacing w:before="40" w:after="40" w:line="220" w:lineRule="exact"/>
              <w:rPr>
                <w:rFonts w:asciiTheme="majorBidi" w:hAnsiTheme="majorBidi" w:cstheme="majorBidi"/>
                <w:b/>
                <w:bCs/>
                <w:u w:val="single"/>
              </w:rPr>
            </w:pPr>
          </w:p>
        </w:tc>
        <w:tc>
          <w:tcPr>
            <w:tcW w:w="1610" w:type="dxa"/>
            <w:gridSpan w:val="2"/>
            <w:tcBorders>
              <w:top w:val="single" w:sz="12" w:space="0" w:color="auto"/>
            </w:tcBorders>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Pr>
                <w:rFonts w:asciiTheme="majorBidi" w:hAnsiTheme="majorBidi"/>
              </w:rPr>
              <w:t>-1/+1 °C</w:t>
            </w:r>
          </w:p>
        </w:tc>
        <w:tc>
          <w:tcPr>
            <w:tcW w:w="1587" w:type="dxa"/>
            <w:gridSpan w:val="2"/>
            <w:tcBorders>
              <w:top w:val="single" w:sz="12" w:space="0" w:color="auto"/>
            </w:tcBorders>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Pr>
                <w:rFonts w:asciiTheme="majorBidi" w:hAnsiTheme="majorBidi"/>
              </w:rPr>
              <w:t>Ja</w:t>
            </w:r>
          </w:p>
        </w:tc>
        <w:tc>
          <w:tcPr>
            <w:tcW w:w="2144" w:type="dxa"/>
            <w:gridSpan w:val="3"/>
            <w:tcBorders>
              <w:top w:val="single" w:sz="12" w:space="0" w:color="auto"/>
            </w:tcBorders>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Pr>
                <w:rFonts w:asciiTheme="majorBidi" w:hAnsiTheme="majorBidi"/>
              </w:rPr>
              <w:t xml:space="preserve">50–90 </w:t>
            </w:r>
          </w:p>
        </w:tc>
      </w:tr>
      <w:tr w:rsidR="00201785" w:rsidRPr="00FF635E" w:rsidTr="00194D0B">
        <w:tc>
          <w:tcPr>
            <w:tcW w:w="1736" w:type="dxa"/>
            <w:shd w:val="clear" w:color="auto" w:fill="auto"/>
            <w:hideMark/>
          </w:tcPr>
          <w:p w:rsidR="00201785" w:rsidRPr="00B649C0" w:rsidRDefault="00201785" w:rsidP="00194D0B">
            <w:pPr>
              <w:autoSpaceDE w:val="0"/>
              <w:autoSpaceDN w:val="0"/>
              <w:adjustRightInd w:val="0"/>
              <w:spacing w:before="40" w:after="40" w:line="220" w:lineRule="exact"/>
              <w:rPr>
                <w:rFonts w:asciiTheme="majorBidi" w:hAnsiTheme="majorBidi" w:cstheme="majorBidi"/>
                <w:b/>
              </w:rPr>
            </w:pPr>
            <w:r>
              <w:rPr>
                <w:rFonts w:asciiTheme="majorBidi" w:hAnsiTheme="majorBidi"/>
                <w:b/>
              </w:rPr>
              <w:t>Kylda produkter</w:t>
            </w:r>
          </w:p>
        </w:tc>
        <w:tc>
          <w:tcPr>
            <w:tcW w:w="293" w:type="dxa"/>
            <w:shd w:val="clear" w:color="auto" w:fill="auto"/>
          </w:tcPr>
          <w:p w:rsidR="00201785" w:rsidRPr="00B649C0" w:rsidRDefault="00201785" w:rsidP="00194D0B">
            <w:pPr>
              <w:autoSpaceDE w:val="0"/>
              <w:autoSpaceDN w:val="0"/>
              <w:adjustRightInd w:val="0"/>
              <w:spacing w:before="40" w:after="40" w:line="220" w:lineRule="exact"/>
              <w:rPr>
                <w:rFonts w:asciiTheme="majorBidi" w:hAnsiTheme="majorBidi" w:cstheme="majorBidi"/>
                <w:b/>
                <w:bCs/>
                <w:u w:val="single"/>
              </w:rPr>
            </w:pPr>
          </w:p>
        </w:tc>
        <w:tc>
          <w:tcPr>
            <w:tcW w:w="1610" w:type="dxa"/>
            <w:gridSpan w:val="2"/>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Pr>
                <w:rFonts w:asciiTheme="majorBidi" w:hAnsiTheme="majorBidi"/>
              </w:rPr>
              <w:t>-1/+6 °C</w:t>
            </w:r>
          </w:p>
        </w:tc>
        <w:tc>
          <w:tcPr>
            <w:tcW w:w="1587" w:type="dxa"/>
            <w:gridSpan w:val="2"/>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Pr>
                <w:rFonts w:asciiTheme="majorBidi" w:hAnsiTheme="majorBidi"/>
              </w:rPr>
              <w:t>Ja</w:t>
            </w:r>
          </w:p>
        </w:tc>
        <w:tc>
          <w:tcPr>
            <w:tcW w:w="2144" w:type="dxa"/>
            <w:gridSpan w:val="3"/>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Pr>
                <w:rFonts w:asciiTheme="majorBidi" w:hAnsiTheme="majorBidi"/>
              </w:rPr>
              <w:t xml:space="preserve">50–90 </w:t>
            </w:r>
          </w:p>
        </w:tc>
      </w:tr>
      <w:tr w:rsidR="00201785" w:rsidRPr="00FF635E" w:rsidTr="00194D0B">
        <w:tc>
          <w:tcPr>
            <w:tcW w:w="1736" w:type="dxa"/>
            <w:shd w:val="clear" w:color="auto" w:fill="auto"/>
          </w:tcPr>
          <w:p w:rsidR="00201785" w:rsidRPr="00B649C0" w:rsidRDefault="00201785" w:rsidP="00194D0B">
            <w:pPr>
              <w:autoSpaceDE w:val="0"/>
              <w:autoSpaceDN w:val="0"/>
              <w:adjustRightInd w:val="0"/>
              <w:spacing w:before="40" w:after="40" w:line="220" w:lineRule="exact"/>
              <w:rPr>
                <w:rFonts w:asciiTheme="majorBidi" w:hAnsiTheme="majorBidi" w:cstheme="majorBidi"/>
                <w:b/>
              </w:rPr>
            </w:pPr>
          </w:p>
        </w:tc>
        <w:tc>
          <w:tcPr>
            <w:tcW w:w="293" w:type="dxa"/>
            <w:shd w:val="clear" w:color="auto" w:fill="auto"/>
          </w:tcPr>
          <w:p w:rsidR="00201785" w:rsidRPr="00B649C0" w:rsidRDefault="00201785" w:rsidP="00194D0B">
            <w:pPr>
              <w:autoSpaceDE w:val="0"/>
              <w:autoSpaceDN w:val="0"/>
              <w:adjustRightInd w:val="0"/>
              <w:spacing w:before="40" w:after="40" w:line="220" w:lineRule="exact"/>
              <w:rPr>
                <w:rFonts w:asciiTheme="majorBidi" w:hAnsiTheme="majorBidi" w:cstheme="majorBidi"/>
                <w:b/>
                <w:bCs/>
                <w:u w:val="single"/>
              </w:rPr>
            </w:pPr>
          </w:p>
        </w:tc>
        <w:tc>
          <w:tcPr>
            <w:tcW w:w="1610" w:type="dxa"/>
            <w:gridSpan w:val="2"/>
            <w:shd w:val="clear" w:color="auto" w:fill="auto"/>
            <w:vAlign w:val="bottom"/>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p>
        </w:tc>
        <w:tc>
          <w:tcPr>
            <w:tcW w:w="1587" w:type="dxa"/>
            <w:gridSpan w:val="2"/>
            <w:shd w:val="clear" w:color="auto" w:fill="auto"/>
            <w:vAlign w:val="bottom"/>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p>
        </w:tc>
        <w:tc>
          <w:tcPr>
            <w:tcW w:w="2144" w:type="dxa"/>
            <w:gridSpan w:val="3"/>
            <w:shd w:val="clear" w:color="auto" w:fill="auto"/>
            <w:vAlign w:val="bottom"/>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p>
        </w:tc>
      </w:tr>
      <w:tr w:rsidR="00201785" w:rsidRPr="00FF635E" w:rsidTr="00194D0B">
        <w:tc>
          <w:tcPr>
            <w:tcW w:w="1736" w:type="dxa"/>
            <w:shd w:val="clear" w:color="auto" w:fill="auto"/>
            <w:hideMark/>
          </w:tcPr>
          <w:p w:rsidR="00201785" w:rsidRPr="00B649C0" w:rsidRDefault="00201785" w:rsidP="00194D0B">
            <w:pPr>
              <w:autoSpaceDE w:val="0"/>
              <w:autoSpaceDN w:val="0"/>
              <w:adjustRightInd w:val="0"/>
              <w:spacing w:before="40" w:after="40" w:line="220" w:lineRule="exact"/>
              <w:rPr>
                <w:rFonts w:asciiTheme="majorBidi" w:hAnsiTheme="majorBidi" w:cstheme="majorBidi"/>
                <w:b/>
              </w:rPr>
            </w:pPr>
            <w:r>
              <w:rPr>
                <w:rFonts w:asciiTheme="majorBidi" w:hAnsiTheme="majorBidi"/>
                <w:b/>
              </w:rPr>
              <w:t>Frysta livsmedel</w:t>
            </w:r>
          </w:p>
        </w:tc>
        <w:tc>
          <w:tcPr>
            <w:tcW w:w="293" w:type="dxa"/>
            <w:shd w:val="clear" w:color="auto" w:fill="auto"/>
          </w:tcPr>
          <w:p w:rsidR="00201785" w:rsidRPr="00B649C0" w:rsidRDefault="00201785" w:rsidP="00194D0B">
            <w:pPr>
              <w:autoSpaceDE w:val="0"/>
              <w:autoSpaceDN w:val="0"/>
              <w:adjustRightInd w:val="0"/>
              <w:spacing w:before="40" w:after="40" w:line="220" w:lineRule="exact"/>
              <w:rPr>
                <w:rFonts w:asciiTheme="majorBidi" w:hAnsiTheme="majorBidi" w:cstheme="majorBidi"/>
                <w:b/>
                <w:bCs/>
                <w:u w:val="single"/>
              </w:rPr>
            </w:pPr>
          </w:p>
        </w:tc>
        <w:tc>
          <w:tcPr>
            <w:tcW w:w="1610" w:type="dxa"/>
            <w:gridSpan w:val="2"/>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Pr>
                <w:rFonts w:asciiTheme="majorBidi" w:hAnsiTheme="majorBidi"/>
              </w:rPr>
              <w:t>&lt; -18 °C</w:t>
            </w:r>
          </w:p>
        </w:tc>
        <w:tc>
          <w:tcPr>
            <w:tcW w:w="1587" w:type="dxa"/>
            <w:gridSpan w:val="2"/>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Pr>
                <w:rFonts w:asciiTheme="majorBidi" w:hAnsiTheme="majorBidi"/>
              </w:rPr>
              <w:t>Nej</w:t>
            </w:r>
          </w:p>
        </w:tc>
        <w:tc>
          <w:tcPr>
            <w:tcW w:w="2144" w:type="dxa"/>
            <w:gridSpan w:val="3"/>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Pr>
                <w:rFonts w:asciiTheme="majorBidi" w:hAnsiTheme="majorBidi"/>
              </w:rPr>
              <w:t xml:space="preserve">40–60 </w:t>
            </w:r>
          </w:p>
        </w:tc>
      </w:tr>
      <w:tr w:rsidR="00201785" w:rsidRPr="00FF635E" w:rsidTr="00194D0B">
        <w:tc>
          <w:tcPr>
            <w:tcW w:w="1736" w:type="dxa"/>
            <w:tcBorders>
              <w:bottom w:val="single" w:sz="12" w:space="0" w:color="auto"/>
            </w:tcBorders>
            <w:shd w:val="clear" w:color="auto" w:fill="auto"/>
            <w:hideMark/>
          </w:tcPr>
          <w:p w:rsidR="00201785" w:rsidRPr="00B649C0" w:rsidRDefault="00201785" w:rsidP="00194D0B">
            <w:pPr>
              <w:autoSpaceDE w:val="0"/>
              <w:autoSpaceDN w:val="0"/>
              <w:adjustRightInd w:val="0"/>
              <w:spacing w:before="40" w:after="40" w:line="220" w:lineRule="exact"/>
              <w:rPr>
                <w:rFonts w:asciiTheme="majorBidi" w:hAnsiTheme="majorBidi" w:cstheme="majorBidi"/>
                <w:b/>
              </w:rPr>
            </w:pPr>
            <w:r>
              <w:rPr>
                <w:rFonts w:asciiTheme="majorBidi" w:hAnsiTheme="majorBidi"/>
                <w:b/>
              </w:rPr>
              <w:t xml:space="preserve">Glass </w:t>
            </w:r>
          </w:p>
        </w:tc>
        <w:tc>
          <w:tcPr>
            <w:tcW w:w="293" w:type="dxa"/>
            <w:tcBorders>
              <w:bottom w:val="single" w:sz="12" w:space="0" w:color="auto"/>
            </w:tcBorders>
            <w:shd w:val="clear" w:color="auto" w:fill="auto"/>
          </w:tcPr>
          <w:p w:rsidR="00201785" w:rsidRPr="00B649C0" w:rsidRDefault="00201785" w:rsidP="00194D0B">
            <w:pPr>
              <w:autoSpaceDE w:val="0"/>
              <w:autoSpaceDN w:val="0"/>
              <w:adjustRightInd w:val="0"/>
              <w:spacing w:before="40" w:after="40" w:line="220" w:lineRule="exact"/>
              <w:rPr>
                <w:rFonts w:asciiTheme="majorBidi" w:hAnsiTheme="majorBidi" w:cstheme="majorBidi"/>
                <w:b/>
                <w:bCs/>
                <w:u w:val="single"/>
              </w:rPr>
            </w:pPr>
          </w:p>
        </w:tc>
        <w:tc>
          <w:tcPr>
            <w:tcW w:w="1610" w:type="dxa"/>
            <w:gridSpan w:val="2"/>
            <w:tcBorders>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Pr>
                <w:rFonts w:asciiTheme="majorBidi" w:hAnsiTheme="majorBidi"/>
              </w:rPr>
              <w:t xml:space="preserve">&lt; -20 °C </w:t>
            </w:r>
          </w:p>
        </w:tc>
        <w:tc>
          <w:tcPr>
            <w:tcW w:w="1587" w:type="dxa"/>
            <w:gridSpan w:val="2"/>
            <w:tcBorders>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Pr>
                <w:rFonts w:asciiTheme="majorBidi" w:hAnsiTheme="majorBidi"/>
              </w:rPr>
              <w:t>låg</w:t>
            </w:r>
          </w:p>
        </w:tc>
        <w:tc>
          <w:tcPr>
            <w:tcW w:w="2144" w:type="dxa"/>
            <w:gridSpan w:val="3"/>
            <w:tcBorders>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Pr>
                <w:rFonts w:asciiTheme="majorBidi" w:hAnsiTheme="majorBidi"/>
              </w:rPr>
              <w:t>40–60</w:t>
            </w:r>
          </w:p>
        </w:tc>
      </w:tr>
    </w:tbl>
    <w:p w:rsidR="00201785" w:rsidRPr="00571812" w:rsidRDefault="00201785" w:rsidP="00201785">
      <w:pPr>
        <w:pStyle w:val="SingleTxtG"/>
        <w:rPr>
          <w:rFonts w:asciiTheme="majorBidi" w:hAnsiTheme="majorBidi" w:cstheme="majorBidi"/>
          <w:b/>
          <w:spacing w:val="4"/>
          <w:w w:val="103"/>
          <w:kern w:val="14"/>
        </w:rPr>
      </w:pPr>
      <w:r>
        <w:rPr>
          <w:rFonts w:asciiTheme="majorBidi" w:hAnsiTheme="majorBidi"/>
          <w:b/>
        </w:rPr>
        <w:t>”</w:t>
      </w:r>
    </w:p>
    <w:p w:rsidR="00201785" w:rsidRPr="00571812" w:rsidRDefault="00201785" w:rsidP="00201785">
      <w:pPr>
        <w:pStyle w:val="SingleTxtG"/>
        <w:rPr>
          <w:rFonts w:asciiTheme="majorBidi" w:hAnsiTheme="majorBidi" w:cstheme="majorBidi"/>
          <w:i/>
        </w:rPr>
      </w:pPr>
      <w:r>
        <w:tab/>
      </w:r>
      <w:r>
        <w:rPr>
          <w:rFonts w:asciiTheme="majorBidi" w:hAnsiTheme="majorBidi"/>
          <w:i/>
        </w:rPr>
        <w:t>(Referensdokument: ECE/TRANS/WP.11/2022/16, ändrat genom det inofficiella dokumentet INF.10 med ändringar)</w:t>
      </w:r>
    </w:p>
    <w:p w:rsidR="00201785" w:rsidRPr="00201785" w:rsidRDefault="00201785" w:rsidP="00201785">
      <w:pPr>
        <w:spacing w:before="240"/>
        <w:jc w:val="center"/>
        <w:rPr>
          <w:u w:val="single"/>
        </w:rPr>
      </w:pPr>
      <w:r>
        <w:rPr>
          <w:u w:val="single"/>
        </w:rPr>
        <w:tab/>
      </w:r>
      <w:r>
        <w:rPr>
          <w:u w:val="single"/>
        </w:rPr>
        <w:tab/>
      </w:r>
      <w:r>
        <w:rPr>
          <w:u w:val="single"/>
        </w:rPr>
        <w:tab/>
      </w:r>
    </w:p>
    <w:p w:rsidR="00201785" w:rsidRPr="00201785" w:rsidRDefault="00201785" w:rsidP="00B6289F">
      <w:pPr>
        <w:pStyle w:val="SingleTxtG"/>
      </w:pPr>
    </w:p>
    <w:p w:rsidR="002A5FAB" w:rsidRPr="00B6289F" w:rsidRDefault="002A5FAB"/>
    <w:sectPr w:rsidR="002A5FAB" w:rsidRPr="00B6289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9F"/>
    <w:rsid w:val="00126750"/>
    <w:rsid w:val="00201785"/>
    <w:rsid w:val="002A5FAB"/>
    <w:rsid w:val="00B6289F"/>
    <w:rsid w:val="00B73453"/>
    <w:rsid w:val="00DD22D1"/>
    <w:rsid w:val="00E879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AD0A"/>
  <w15:chartTrackingRefBased/>
  <w15:docId w15:val="{7B863DCB-72F1-40B7-B053-DC2DD7BF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ngleTxtG">
    <w:name w:val="_ Single Txt_G"/>
    <w:basedOn w:val="Normaali"/>
    <w:link w:val="SingleTxtGChar"/>
    <w:qFormat/>
    <w:rsid w:val="00B6289F"/>
    <w:pPr>
      <w:suppressAutoHyphens/>
      <w:spacing w:after="120" w:line="240" w:lineRule="atLeast"/>
      <w:ind w:left="1134" w:right="1134"/>
      <w:jc w:val="both"/>
    </w:pPr>
    <w:rPr>
      <w:rFonts w:ascii="Times New Roman" w:eastAsia="Times New Roman" w:hAnsi="Times New Roman" w:cs="Times New Roman"/>
      <w:sz w:val="20"/>
      <w:szCs w:val="20"/>
      <w:lang w:eastAsia="fr-FR"/>
    </w:rPr>
  </w:style>
  <w:style w:type="character" w:customStyle="1" w:styleId="SingleTxtGChar">
    <w:name w:val="_ Single Txt_G Char"/>
    <w:link w:val="SingleTxtG"/>
    <w:qFormat/>
    <w:locked/>
    <w:rsid w:val="00B6289F"/>
    <w:rPr>
      <w:rFonts w:ascii="Times New Roman" w:eastAsia="Times New Roman" w:hAnsi="Times New Roman" w:cs="Times New Roman"/>
      <w:sz w:val="20"/>
      <w:szCs w:val="20"/>
      <w:lang w:val="sv-SE" w:eastAsia="fr-FR"/>
    </w:rPr>
  </w:style>
  <w:style w:type="paragraph" w:customStyle="1" w:styleId="HChG">
    <w:name w:val="_ H _Ch_G"/>
    <w:basedOn w:val="Normaali"/>
    <w:next w:val="Normaali"/>
    <w:link w:val="HChGChar"/>
    <w:qFormat/>
    <w:rsid w:val="00201785"/>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eastAsia="fr-FR"/>
    </w:rPr>
  </w:style>
  <w:style w:type="character" w:styleId="Alaviitteenviite">
    <w:name w:val="footnote reference"/>
    <w:aliases w:val="4_G"/>
    <w:basedOn w:val="Kappaleenoletusfontti"/>
    <w:uiPriority w:val="99"/>
    <w:qFormat/>
    <w:rsid w:val="00201785"/>
    <w:rPr>
      <w:rFonts w:ascii="Times New Roman" w:hAnsi="Times New Roman"/>
      <w:sz w:val="18"/>
      <w:vertAlign w:val="superscript"/>
    </w:rPr>
  </w:style>
  <w:style w:type="paragraph" w:styleId="Alaviitteenteksti">
    <w:name w:val="footnote text"/>
    <w:aliases w:val="5_G"/>
    <w:basedOn w:val="Normaali"/>
    <w:link w:val="AlaviitteentekstiChar"/>
    <w:uiPriority w:val="99"/>
    <w:qFormat/>
    <w:rsid w:val="00201785"/>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eastAsia="fr-FR"/>
    </w:rPr>
  </w:style>
  <w:style w:type="character" w:customStyle="1" w:styleId="AlaviitteentekstiChar">
    <w:name w:val="Alaviitteen teksti Char"/>
    <w:aliases w:val="5_G Char"/>
    <w:basedOn w:val="Kappaleenoletusfontti"/>
    <w:link w:val="Alaviitteenteksti"/>
    <w:uiPriority w:val="99"/>
    <w:rsid w:val="00201785"/>
    <w:rPr>
      <w:rFonts w:ascii="Times New Roman" w:eastAsia="Times New Roman" w:hAnsi="Times New Roman" w:cs="Times New Roman"/>
      <w:sz w:val="18"/>
      <w:szCs w:val="20"/>
      <w:lang w:val="sv-SE" w:eastAsia="fr-FR"/>
    </w:rPr>
  </w:style>
  <w:style w:type="character" w:customStyle="1" w:styleId="HChGChar">
    <w:name w:val="_ H _Ch_G Char"/>
    <w:link w:val="HChG"/>
    <w:rsid w:val="00201785"/>
    <w:rPr>
      <w:rFonts w:ascii="Times New Roman" w:eastAsia="Times New Roman" w:hAnsi="Times New Roman" w:cs="Times New Roman"/>
      <w:b/>
      <w:sz w:val="28"/>
      <w:szCs w:val="20"/>
      <w:lang w:val="sv-SE" w:eastAsia="fr-FR"/>
    </w:rPr>
  </w:style>
  <w:style w:type="paragraph" w:styleId="Kommentinteksti">
    <w:name w:val="annotation text"/>
    <w:uiPriority w:val="99"/>
    <w:semiHidden/>
    <w:unhideWhenUsed/>
    <w:pPr>
      <w:spacing w:line="240" w:lineRule="auto"/>
    </w:pPr>
    <w:rPr>
      <w:sz w:val="20"/>
      <w:szCs w:val="20"/>
    </w:rPr>
  </w:style>
  <w:style w:type="character" w:styleId="Kommentinviite">
    <w:name w:val="annotation reference"/>
    <w:uiPriority w:val="99"/>
    <w:semiHidden/>
    <w:unhideWhenUsed/>
    <w:rPr>
      <w:sz w:val="16"/>
      <w:szCs w:val="16"/>
    </w:rPr>
  </w:style>
  <w:style w:type="paragraph" w:styleId="Seliteteksti">
    <w:name w:val="Balloon Text"/>
    <w:basedOn w:val="Normaali"/>
    <w:link w:val="SelitetekstiChar"/>
    <w:uiPriority w:val="99"/>
    <w:semiHidden/>
    <w:unhideWhenUsed/>
    <w:rsid w:val="00DD22D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D22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821</Words>
  <Characters>6657</Characters>
  <Application>Microsoft Office Word</Application>
  <DocSecurity>0</DocSecurity>
  <Lines>55</Lines>
  <Paragraphs>14</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Miettinen Hannu (MMM)</dc:creator>
  <cp:keywords/>
  <dc:description/>
  <cp:lastModifiedBy>Anna Gref (VNK)</cp:lastModifiedBy>
  <cp:revision>4</cp:revision>
  <dcterms:created xsi:type="dcterms:W3CDTF">2023-05-08T11:54:00Z</dcterms:created>
  <dcterms:modified xsi:type="dcterms:W3CDTF">2023-05-30T07:10:00Z</dcterms:modified>
</cp:coreProperties>
</file>