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93" w:rsidRPr="00EB1B02" w:rsidRDefault="00EB1B02" w:rsidP="007B07F4">
      <w:pPr>
        <w:jc w:val="both"/>
        <w:rPr>
          <w:b/>
          <w:sz w:val="24"/>
        </w:rPr>
      </w:pPr>
      <w:r>
        <w:rPr>
          <w:b/>
          <w:sz w:val="24"/>
        </w:rPr>
        <w:t>Jord- och skogsbruksministeriets förslag till åtgärder för att förbättra försörjningsberedskapen inom fiskerinäringen</w:t>
      </w:r>
    </w:p>
    <w:p w:rsidR="00EB1B02" w:rsidRDefault="00EB1B02" w:rsidP="007B07F4">
      <w:pPr>
        <w:jc w:val="both"/>
        <w:rPr>
          <w:b/>
        </w:rPr>
      </w:pPr>
    </w:p>
    <w:p w:rsidR="00EB1B02" w:rsidRPr="00EB1B02" w:rsidRDefault="00EB1B02" w:rsidP="007B07F4">
      <w:pPr>
        <w:jc w:val="both"/>
        <w:rPr>
          <w:b/>
        </w:rPr>
      </w:pPr>
      <w:r>
        <w:rPr>
          <w:b/>
        </w:rPr>
        <w:t>1</w:t>
      </w:r>
      <w:r>
        <w:rPr>
          <w:b/>
          <w:bCs/>
        </w:rPr>
        <w:t>.</w:t>
      </w:r>
      <w:r>
        <w:rPr>
          <w:b/>
        </w:rPr>
        <w:t xml:space="preserve"> Inledning</w:t>
      </w:r>
    </w:p>
    <w:p w:rsidR="001052C9" w:rsidRPr="000E11EF" w:rsidRDefault="001052C9" w:rsidP="007B07F4">
      <w:pPr>
        <w:jc w:val="both"/>
      </w:pPr>
      <w:r>
        <w:t>Vi lever i en tid med återkommande kriser i världen. Coronapandemin påvisade svagheterna i den globala världsekonomin och avbröt trafikförbindelser och stängde marknader runt om i världen. Det ryska anfallskriget mot Ukraina ledde i sin tur i synnerhet till stigande energikostnader och inflation. Den ökande osäkerheten gör det svårare att förutse framtiden och skapar många nya hotbilder. Finland ska bereda sig bättre för nya och oväntade situationer.</w:t>
      </w:r>
    </w:p>
    <w:p w:rsidR="001052C9" w:rsidRPr="000E11EF" w:rsidRDefault="001052C9" w:rsidP="007B07F4">
      <w:pPr>
        <w:jc w:val="both"/>
      </w:pPr>
      <w:r>
        <w:t>Fisk har varit en viktig föda under tidigare kriser. Fiskarna är fortfarande en betydande reserv av färskt animaliskt protein med omfattande utbredning på olika håll i Finland. I våra vattendrag finns det också rikligt med underutnyttjade fiskresurser med utmärkta näringsvärden som tål ökad fångst. En stor del av vår viktigaste fiskresurs, strömming, används för utfodringen av djur</w:t>
      </w:r>
      <w:r w:rsidR="00D84AA7">
        <w:t xml:space="preserve">, men i ökande grad indirekt via </w:t>
      </w:r>
      <w:proofErr w:type="spellStart"/>
      <w:r w:rsidR="00D84AA7">
        <w:t>fiskfoder</w:t>
      </w:r>
      <w:proofErr w:type="spellEnd"/>
      <w:r w:rsidR="00D84AA7">
        <w:t xml:space="preserve"> till livsmedel</w:t>
      </w:r>
      <w:r>
        <w:t xml:space="preserve">. Denna råvara kunde i allt högre grad </w:t>
      </w:r>
      <w:r w:rsidR="00D84AA7">
        <w:t xml:space="preserve">direkt </w:t>
      </w:r>
      <w:r>
        <w:t>användas som människoföda. Med fiskodling är det möjligt att avsevärt förbättra Finlands svaga s</w:t>
      </w:r>
      <w:bookmarkStart w:id="0" w:name="_GoBack"/>
      <w:bookmarkEnd w:id="0"/>
      <w:r>
        <w:t>jälvförsörjningsgrad vad gäller fisk. Den inhemska fiskindustrin är huvudsakligen beroende av utländsk fisk på grund av vilket även tillgången till importerad fisk ska kunna tryggas även i olika störnings- och undantagssituationer.</w:t>
      </w:r>
    </w:p>
    <w:p w:rsidR="00B859BC" w:rsidRPr="000E11EF" w:rsidRDefault="001052C9" w:rsidP="007B07F4">
      <w:pPr>
        <w:jc w:val="both"/>
      </w:pPr>
      <w:r>
        <w:t xml:space="preserve">Naturresursinstitutet gjorde på uppdrag av jord- och skogsbruksministeriet en utredning av nuläget och utvecklingsmöjligheterna för försörjningsberedskapen i fråga om fisk i Finland (bilaga). Utredningen lyfter fram många utvecklingsområden. Jord- och skogsbruksministeriet har på basis av utredningen identifierat de nedan beskrivna åtgärder vars genomförande har bedömts vara </w:t>
      </w:r>
      <w:r w:rsidR="0005062C">
        <w:t xml:space="preserve">viktigast och </w:t>
      </w:r>
      <w:r>
        <w:t xml:space="preserve">de mest brådskande. De övriga åtgärder som presenteras i utredningen är också viktiga och stöder branschens utveckling och hållbara tillväxt på lång sikt. En lönsam och livskraftig värdekedja med tillräckligt stor produktionskapacitet inom fiskerinäringen tryggar en flexibel matförsörjning i olika störningssituationer och under undantagsförhållanden.  </w:t>
      </w:r>
    </w:p>
    <w:p w:rsidR="001052C9" w:rsidRPr="000E11EF" w:rsidRDefault="00AC134E" w:rsidP="007B07F4">
      <w:pPr>
        <w:jc w:val="both"/>
      </w:pPr>
      <w:r>
        <w:t xml:space="preserve">Målet med att förbättra försörjningsberedskapen inom fiskerinäringen är att branschens förmåga att bereda sig för och anpassa sig till olika undantagssituationer har blivit bättre och Finlands självförsörjningsgrad vad gäller fisk kan ökas på lång sikt. Således kan fiskerinäringen även stöda den nationella livsmedelsförsörjningen bättre än tidigare i eventuella undantagssituationer. Förbättringen av försörjningsberedskapen har framhävts som en central åtgärd i regeringsprogrammet för Petteri </w:t>
      </w:r>
      <w:proofErr w:type="spellStart"/>
      <w:r>
        <w:t>Orpos</w:t>
      </w:r>
      <w:proofErr w:type="spellEnd"/>
      <w:r>
        <w:t xml:space="preserve"> regering.</w:t>
      </w:r>
    </w:p>
    <w:p w:rsidR="00DF26E2" w:rsidRPr="000E11EF" w:rsidRDefault="00DF26E2" w:rsidP="007B07F4">
      <w:pPr>
        <w:jc w:val="both"/>
      </w:pPr>
    </w:p>
    <w:p w:rsidR="001052C9" w:rsidRPr="000E11EF" w:rsidRDefault="004E23A1" w:rsidP="007B07F4">
      <w:pPr>
        <w:jc w:val="both"/>
        <w:rPr>
          <w:b/>
        </w:rPr>
      </w:pPr>
      <w:r>
        <w:rPr>
          <w:b/>
        </w:rPr>
        <w:t>2</w:t>
      </w:r>
      <w:r>
        <w:rPr>
          <w:b/>
          <w:bCs/>
        </w:rPr>
        <w:t>.</w:t>
      </w:r>
      <w:r>
        <w:rPr>
          <w:b/>
        </w:rPr>
        <w:t xml:space="preserve"> Förslag till centrala åtgärder </w:t>
      </w:r>
    </w:p>
    <w:p w:rsidR="00DF26E2" w:rsidRPr="000E11EF" w:rsidRDefault="00DF26E2" w:rsidP="007B07F4">
      <w:pPr>
        <w:jc w:val="both"/>
        <w:rPr>
          <w:u w:val="single"/>
        </w:rPr>
      </w:pPr>
      <w:r>
        <w:rPr>
          <w:u w:val="single"/>
        </w:rPr>
        <w:t>A. Fiskerinäringen som en del av den nationella försörjningsberedskapsverksamheten</w:t>
      </w:r>
    </w:p>
    <w:p w:rsidR="00DF26E2" w:rsidRPr="000E11EF" w:rsidRDefault="00EF11C4" w:rsidP="007B07F4">
      <w:pPr>
        <w:jc w:val="both"/>
      </w:pPr>
      <w:r>
        <w:t>A1: Fiskenäringen inbegrips i den nationella försörjningsberedskapsverksamheten varvid åtgärder vidtas som stöder de mest kritiska komponenterna av försörjningsberedskapen inom fiskerinäringen. För styrningen av arbetet tillsätts en styrgrupp som ansvarar för utvecklingen av försörjningsberedskapen inom fiskerinäringen och samordnar utvecklingsarbetet och följer upp genomförandet av åtgärderna. Efter övergångsperioden styrs försörjningsberedskapsverksamheten inom fiskerinäringen som en del av ansvarsområdeshelheten för Försörjningsberedskapscentralens livsmedelsförsörjningssektor.</w:t>
      </w:r>
    </w:p>
    <w:p w:rsidR="007E0874" w:rsidRPr="000E11EF" w:rsidRDefault="00EF11C4" w:rsidP="007B07F4">
      <w:pPr>
        <w:jc w:val="both"/>
      </w:pPr>
      <w:r>
        <w:t xml:space="preserve">A2: För olika störningssituationer och undantagsförhållanden utarbetas en mer detaljerad handlingsplan. I handlingsplanen uppmärksammas riskerna vid olika situationer och de åtgärder som riskerna förutsätter på myndighets- och företagsnivå.  </w:t>
      </w:r>
    </w:p>
    <w:p w:rsidR="00EF11C4" w:rsidRPr="000E11EF" w:rsidRDefault="00EF11C4" w:rsidP="007B07F4">
      <w:pPr>
        <w:jc w:val="both"/>
      </w:pPr>
      <w:r>
        <w:lastRenderedPageBreak/>
        <w:t>A3: Säkerställande av att fiskeriföretagen har gjort nödvändiga personreserveringar (VAP-personreserveringar, befriad från militärtjänst) för de kritiska uppgifterna. Företagarna utbildas för störningssituationer så att varje aktör har bättre förståelse om sin ställning och sina uppgifter i allvarliga störningssituationer och under undantagsförhållanden.</w:t>
      </w:r>
    </w:p>
    <w:p w:rsidR="00DF26E2" w:rsidRPr="000E11EF" w:rsidRDefault="00DF26E2" w:rsidP="007B07F4">
      <w:pPr>
        <w:jc w:val="both"/>
      </w:pPr>
    </w:p>
    <w:p w:rsidR="00DF26E2" w:rsidRPr="000E11EF" w:rsidRDefault="00DF26E2" w:rsidP="007B07F4">
      <w:pPr>
        <w:jc w:val="both"/>
        <w:rPr>
          <w:u w:val="single"/>
        </w:rPr>
      </w:pPr>
      <w:r>
        <w:rPr>
          <w:u w:val="single"/>
        </w:rPr>
        <w:t>B. Säkerställande av tillgången till fiskeriföretagens kritiska funktioner och insatsvaror</w:t>
      </w:r>
    </w:p>
    <w:p w:rsidR="00DF26E2" w:rsidRPr="000E11EF" w:rsidRDefault="00542529" w:rsidP="007B07F4">
      <w:pPr>
        <w:jc w:val="both"/>
      </w:pPr>
      <w:r>
        <w:t xml:space="preserve">B1: De viktigaste fiskehamnarnas verksamhet, fiskefartygens tillgång till bränsle samt eltillgången och reservkraftsarrangemangen vid de centrala fiskodlings- och förädlingsanläggningarna tryggas. Eltillgången och den obrutna kylkedjan i logistiken och förvaringen av fiskprodukter säkerställs. </w:t>
      </w:r>
    </w:p>
    <w:p w:rsidR="00701258" w:rsidRPr="000E11EF" w:rsidRDefault="00542529" w:rsidP="007B07F4">
      <w:pPr>
        <w:jc w:val="both"/>
      </w:pPr>
      <w:r>
        <w:t xml:space="preserve">B2: Tillgången till </w:t>
      </w:r>
      <w:proofErr w:type="spellStart"/>
      <w:r>
        <w:t>fiskfoder</w:t>
      </w:r>
      <w:proofErr w:type="spellEnd"/>
      <w:r>
        <w:t xml:space="preserve"> och andra kritiska insatsvaror inom fiskodlingen (</w:t>
      </w:r>
      <w:proofErr w:type="spellStart"/>
      <w:r>
        <w:t>startfoder</w:t>
      </w:r>
      <w:proofErr w:type="spellEnd"/>
      <w:r>
        <w:t xml:space="preserve">, aminosyror, mineraliska och mineralämnen, vacciner och läkemedel) säkerställs. Den inhemska urvalsförädlingen av fiskar och produktionen av fiskrom för odlingen av matfisk tryggas. </w:t>
      </w:r>
      <w:r w:rsidR="00D84AA7">
        <w:t>Behovet och m</w:t>
      </w:r>
      <w:r>
        <w:t xml:space="preserve">öjligheterna utreds för att uppbevara de viktigaste fångstredskap som krävs för fiskeverksamheten. </w:t>
      </w:r>
    </w:p>
    <w:p w:rsidR="000E11EF" w:rsidRPr="000E11EF" w:rsidRDefault="000E11EF" w:rsidP="00AB271C">
      <w:pPr>
        <w:jc w:val="both"/>
      </w:pPr>
    </w:p>
    <w:p w:rsidR="00AB271C" w:rsidRPr="000E11EF" w:rsidRDefault="00AB271C" w:rsidP="00AB271C">
      <w:pPr>
        <w:jc w:val="both"/>
        <w:rPr>
          <w:u w:val="single"/>
        </w:rPr>
      </w:pPr>
      <w:r>
        <w:rPr>
          <w:u w:val="single"/>
        </w:rPr>
        <w:t xml:space="preserve">C. Förbättring av fiskeriföretagens verksamhetsförutsättningar och tryggande av tillgången till fisk </w:t>
      </w:r>
    </w:p>
    <w:p w:rsidR="0065250F" w:rsidRDefault="00DA4BE0" w:rsidP="00DA4BE0">
      <w:pPr>
        <w:jc w:val="both"/>
      </w:pPr>
      <w:r>
        <w:t xml:space="preserve">C1: Programmet för främjande av inhemsk fisk och vattenbruksstrategin för </w:t>
      </w:r>
      <w:proofErr w:type="spellStart"/>
      <w:r>
        <w:t>Fastlandsfinland</w:t>
      </w:r>
      <w:proofErr w:type="spellEnd"/>
      <w:r>
        <w:t xml:space="preserve"> genomförs. Programmet integreras i en bredare utveckling av samhället och livsmedelsekonomin (utvecklingsplanerna för livsmedelssektorn). Fisken integreras systematiskt i den finländska livsmedelspolitiken.</w:t>
      </w:r>
    </w:p>
    <w:p w:rsidR="00AB271C" w:rsidRPr="000E11EF" w:rsidRDefault="00DA4BE0" w:rsidP="00AB271C">
      <w:pPr>
        <w:jc w:val="both"/>
      </w:pPr>
      <w:r>
        <w:t>C2: Möjligheter till flexibilitet i lagstiftningen som störningssituationer och undantagsförhållanden kräver (kommersiellt fiske, fritidsfiske och fiskodling) utreds samt vidtas nödvändiga beredskapsåtgärder. Områden för fiskodling som kan tas i bruk under undantagsförhållanden kartläggs.</w:t>
      </w:r>
    </w:p>
    <w:p w:rsidR="0065250F" w:rsidRPr="000E11EF" w:rsidRDefault="00DA4BE0" w:rsidP="00DA4BE0">
      <w:pPr>
        <w:jc w:val="both"/>
      </w:pPr>
      <w:r>
        <w:t>C3: Tillgången till fisk för förädlingsföretagen i allvarliga störningssituationer och under undantagsförhållanden tryggas. Möjligheten att trygga importen av fisk från Norge med ett bilateralt avtal mellan länderna utreds. Omständigheter som påverkar tillgången på lax följs upp och förutses. Transportförbindelserna för fisk mellan Norge, Sverige, Åland och Finland tryggas.</w:t>
      </w:r>
    </w:p>
    <w:p w:rsidR="00DA4BE0" w:rsidRPr="000E11EF" w:rsidRDefault="00DA4BE0" w:rsidP="00DA4BE0">
      <w:pPr>
        <w:jc w:val="both"/>
      </w:pPr>
      <w:r>
        <w:t xml:space="preserve">C4: Möjligheterna att i allvarliga störningssituationer och under undantagsförhållanden utöka den inhemska fiskkonservindustrin som utnyttjar strömming och underutnyttjad havs- och insjöfisk utreds så att mera konserver kan produceras för företagens lager, säkerhetsupplagen och den inhemska konsumtionen. </w:t>
      </w:r>
    </w:p>
    <w:sectPr w:rsidR="00DA4BE0" w:rsidRPr="000E11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lang="fi-FI" w:vendorID="64" w:dllVersion="131078" w:nlCheck="1" w:checkStyle="0" w:appName="MSWord"/>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E2"/>
    <w:rsid w:val="0003252F"/>
    <w:rsid w:val="0005062C"/>
    <w:rsid w:val="000E11EF"/>
    <w:rsid w:val="001052C9"/>
    <w:rsid w:val="001F7CEB"/>
    <w:rsid w:val="00206429"/>
    <w:rsid w:val="002A4D93"/>
    <w:rsid w:val="00433B82"/>
    <w:rsid w:val="004A4AAB"/>
    <w:rsid w:val="004E23A1"/>
    <w:rsid w:val="00542529"/>
    <w:rsid w:val="005F54BA"/>
    <w:rsid w:val="0065250F"/>
    <w:rsid w:val="00672385"/>
    <w:rsid w:val="00701258"/>
    <w:rsid w:val="0072006B"/>
    <w:rsid w:val="007B07F4"/>
    <w:rsid w:val="007E0874"/>
    <w:rsid w:val="0080649F"/>
    <w:rsid w:val="00893C78"/>
    <w:rsid w:val="009E2797"/>
    <w:rsid w:val="00AA171D"/>
    <w:rsid w:val="00AB271C"/>
    <w:rsid w:val="00AC134E"/>
    <w:rsid w:val="00B10208"/>
    <w:rsid w:val="00B859BC"/>
    <w:rsid w:val="00C5513C"/>
    <w:rsid w:val="00C7480C"/>
    <w:rsid w:val="00D84AA7"/>
    <w:rsid w:val="00D856C9"/>
    <w:rsid w:val="00DA4BE0"/>
    <w:rsid w:val="00DF26E2"/>
    <w:rsid w:val="00E06176"/>
    <w:rsid w:val="00E43E10"/>
    <w:rsid w:val="00E93265"/>
    <w:rsid w:val="00EB1B02"/>
    <w:rsid w:val="00EF0372"/>
    <w:rsid w:val="00EF11C4"/>
    <w:rsid w:val="00F45CF3"/>
    <w:rsid w:val="00FC74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3A44-2274-4CDE-AA52-BF4FCB22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ap:Properties xmlns:vt="http://schemas.openxmlformats.org/officeDocument/2006/docPropsVTypes" xmlns:ap="http://schemas.openxmlformats.org/officeDocument/2006/extended-properties">
  <ap:Template>Normal.dotm</ap:Template>
  <ap:TotalTime>6</ap:TotalTime>
  <ap:Pages>2</ap:Pages>
  <ap:Words>672</ap:Words>
  <ap:Characters>5446</ap:Characters>
  <ap:Application>Microsoft Office Word</ap:Application>
  <ap:DocSecurity>0</ap:DocSecurity>
  <ap:Lines>45</ap:Lines>
  <ap:Paragraphs>12</ap:Paragraphs>
  <ap:ScaleCrop>false</ap:ScaleCrop>
  <ap:HeadingPairs>
    <vt:vector baseType="variant" size="2">
      <vt:variant>
        <vt:lpstr>Otsikko</vt:lpstr>
      </vt:variant>
      <vt:variant>
        <vt:i4>1</vt:i4>
      </vt:variant>
    </vt:vector>
  </ap:HeadingPairs>
  <ap:TitlesOfParts>
    <vt:vector baseType="lpstr" size="1">
      <vt:lpstr/>
    </vt:vector>
  </ap:TitlesOfParts>
  <ap:Company>Suomen valtion</ap:Company>
  <ap:LinksUpToDate>false</ap:LinksUpToDate>
  <ap:CharactersWithSpaces>6106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Timo (MMM)</dc:creator>
  <cp:keywords/>
  <dc:description/>
  <cp:lastModifiedBy>Halonen Timo (MMM)</cp:lastModifiedBy>
  <cp:revision>4</cp:revision>
  <dcterms:created xsi:type="dcterms:W3CDTF">2024-03-13T11:54:00Z</dcterms:created>
  <dcterms:modified xsi:type="dcterms:W3CDTF">2024-03-21T10:45:00Z</dcterms:modified>
</cp:coreProperties>
</file>