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A9B70" w14:textId="77777777" w:rsidR="002D3158" w:rsidRDefault="002D3158" w:rsidP="00A7553C">
      <w:pPr>
        <w:autoSpaceDE w:val="0"/>
        <w:autoSpaceDN w:val="0"/>
        <w:adjustRightInd w:val="0"/>
        <w:spacing w:after="0" w:line="240" w:lineRule="auto"/>
        <w:rPr>
          <w:rFonts w:cstheme="minorHAnsi"/>
          <w:b/>
          <w:sz w:val="26"/>
          <w:szCs w:val="26"/>
          <w:u w:val="single"/>
        </w:rPr>
      </w:pPr>
    </w:p>
    <w:p w14:paraId="3DFA0383" w14:textId="77777777" w:rsidR="00A7553C" w:rsidRPr="002B479C" w:rsidRDefault="002B479C" w:rsidP="00A7553C">
      <w:pPr>
        <w:autoSpaceDE w:val="0"/>
        <w:autoSpaceDN w:val="0"/>
        <w:adjustRightInd w:val="0"/>
        <w:spacing w:after="0" w:line="240" w:lineRule="auto"/>
        <w:rPr>
          <w:rFonts w:cstheme="minorHAnsi"/>
          <w:b/>
          <w:sz w:val="26"/>
          <w:szCs w:val="26"/>
          <w:u w:val="single"/>
        </w:rPr>
      </w:pPr>
      <w:r>
        <w:rPr>
          <w:b/>
          <w:sz w:val="26"/>
          <w:u w:val="single"/>
        </w:rPr>
        <w:t>[Organisatörens/kommunens] svar till SGEI-rapporteringsbegäran från åren 202x–2y x.y.202z</w:t>
      </w:r>
    </w:p>
    <w:p w14:paraId="3B657AC1" w14:textId="77777777" w:rsidR="002B479C" w:rsidRPr="002B479C" w:rsidRDefault="002B479C" w:rsidP="00A7553C">
      <w:pPr>
        <w:autoSpaceDE w:val="0"/>
        <w:autoSpaceDN w:val="0"/>
        <w:adjustRightInd w:val="0"/>
        <w:spacing w:after="0" w:line="240" w:lineRule="auto"/>
        <w:rPr>
          <w:rFonts w:cstheme="minorHAnsi"/>
          <w:sz w:val="26"/>
          <w:szCs w:val="26"/>
        </w:rPr>
      </w:pPr>
    </w:p>
    <w:p w14:paraId="3F230080" w14:textId="77777777" w:rsidR="00A7553C" w:rsidRPr="002B479C" w:rsidRDefault="002B479C" w:rsidP="00A7553C">
      <w:pPr>
        <w:autoSpaceDE w:val="0"/>
        <w:autoSpaceDN w:val="0"/>
        <w:adjustRightInd w:val="0"/>
        <w:spacing w:after="0" w:line="240" w:lineRule="auto"/>
        <w:rPr>
          <w:rFonts w:cstheme="minorHAnsi"/>
          <w:b/>
          <w:sz w:val="26"/>
          <w:szCs w:val="26"/>
        </w:rPr>
      </w:pPr>
      <w:r>
        <w:rPr>
          <w:b/>
          <w:sz w:val="26"/>
        </w:rPr>
        <w:t>Tillhandahållande av veterinärtjänster</w:t>
      </w:r>
    </w:p>
    <w:p w14:paraId="3CD705CB" w14:textId="77777777" w:rsidR="002B479C" w:rsidRPr="002B479C" w:rsidRDefault="002B479C" w:rsidP="00A7553C">
      <w:pPr>
        <w:autoSpaceDE w:val="0"/>
        <w:autoSpaceDN w:val="0"/>
        <w:adjustRightInd w:val="0"/>
        <w:spacing w:after="0" w:line="240" w:lineRule="auto"/>
        <w:rPr>
          <w:rFonts w:ascii="CIDFont+F2" w:hAnsi="CIDFont+F2" w:cs="CIDFont+F2"/>
          <w:sz w:val="26"/>
          <w:szCs w:val="26"/>
        </w:rPr>
      </w:pPr>
    </w:p>
    <w:p w14:paraId="200607AD" w14:textId="77777777" w:rsidR="00A7553C" w:rsidRPr="002B479C" w:rsidRDefault="00A7553C" w:rsidP="00A7553C">
      <w:pPr>
        <w:autoSpaceDE w:val="0"/>
        <w:autoSpaceDN w:val="0"/>
        <w:adjustRightInd w:val="0"/>
        <w:spacing w:after="0" w:line="240" w:lineRule="auto"/>
        <w:rPr>
          <w:rFonts w:cstheme="minorHAnsi"/>
          <w:b/>
          <w:sz w:val="24"/>
          <w:szCs w:val="24"/>
        </w:rPr>
      </w:pPr>
      <w:r>
        <w:rPr>
          <w:b/>
          <w:sz w:val="24"/>
        </w:rPr>
        <w:t>1. Sammandrag av utgifter</w:t>
      </w:r>
    </w:p>
    <w:p w14:paraId="226143E7" w14:textId="77777777" w:rsidR="002B479C" w:rsidRPr="002B479C" w:rsidRDefault="002B479C" w:rsidP="00A7553C">
      <w:pPr>
        <w:autoSpaceDE w:val="0"/>
        <w:autoSpaceDN w:val="0"/>
        <w:adjustRightInd w:val="0"/>
        <w:spacing w:after="0" w:line="240" w:lineRule="auto"/>
        <w:rPr>
          <w:rFonts w:cstheme="minorHAnsi"/>
          <w:b/>
        </w:rPr>
      </w:pPr>
    </w:p>
    <w:tbl>
      <w:tblPr>
        <w:tblStyle w:val="TaulukkoRuudukko"/>
        <w:tblW w:w="0" w:type="auto"/>
        <w:tblLook w:val="04A0" w:firstRow="1" w:lastRow="0" w:firstColumn="1" w:lastColumn="0" w:noHBand="0" w:noVBand="1"/>
      </w:tblPr>
      <w:tblGrid>
        <w:gridCol w:w="3209"/>
        <w:gridCol w:w="3209"/>
        <w:gridCol w:w="3210"/>
      </w:tblGrid>
      <w:tr w:rsidR="002B479C" w14:paraId="3F1BAEBB" w14:textId="77777777" w:rsidTr="002B479C">
        <w:tc>
          <w:tcPr>
            <w:tcW w:w="9628" w:type="dxa"/>
            <w:gridSpan w:val="3"/>
          </w:tcPr>
          <w:p w14:paraId="0876B669" w14:textId="77777777" w:rsidR="002B479C" w:rsidRPr="005950DA" w:rsidRDefault="002B479C" w:rsidP="002B479C">
            <w:pPr>
              <w:autoSpaceDE w:val="0"/>
              <w:autoSpaceDN w:val="0"/>
              <w:adjustRightInd w:val="0"/>
              <w:rPr>
                <w:rFonts w:cstheme="minorHAnsi"/>
              </w:rPr>
            </w:pPr>
            <w:r>
              <w:t>Offentliga utgifter sammanlagt för tjänster av allmänt ekonomiskt intresse enligt rättsgrund (miljoner euro)</w:t>
            </w:r>
          </w:p>
          <w:p w14:paraId="4D40842E" w14:textId="77777777" w:rsidR="002B479C" w:rsidRDefault="002B479C" w:rsidP="00A7553C">
            <w:pPr>
              <w:autoSpaceDE w:val="0"/>
              <w:autoSpaceDN w:val="0"/>
              <w:adjustRightInd w:val="0"/>
              <w:rPr>
                <w:rFonts w:ascii="CIDFont+F1" w:hAnsi="CIDFont+F1" w:cs="CIDFont+F1"/>
              </w:rPr>
            </w:pPr>
          </w:p>
        </w:tc>
      </w:tr>
      <w:tr w:rsidR="002B479C" w14:paraId="5D96794F" w14:textId="77777777" w:rsidTr="002B479C">
        <w:tc>
          <w:tcPr>
            <w:tcW w:w="3209" w:type="dxa"/>
          </w:tcPr>
          <w:p w14:paraId="240B037E" w14:textId="77777777" w:rsidR="002B479C" w:rsidRDefault="002B479C" w:rsidP="00A7553C">
            <w:pPr>
              <w:autoSpaceDE w:val="0"/>
              <w:autoSpaceDN w:val="0"/>
              <w:adjustRightInd w:val="0"/>
              <w:rPr>
                <w:rFonts w:ascii="CIDFont+F1" w:hAnsi="CIDFont+F1" w:cs="CIDFont+F1"/>
              </w:rPr>
            </w:pPr>
          </w:p>
        </w:tc>
        <w:tc>
          <w:tcPr>
            <w:tcW w:w="3209" w:type="dxa"/>
          </w:tcPr>
          <w:p w14:paraId="5591BE28" w14:textId="77777777" w:rsidR="002B479C" w:rsidRDefault="002B479C" w:rsidP="00A7553C">
            <w:pPr>
              <w:autoSpaceDE w:val="0"/>
              <w:autoSpaceDN w:val="0"/>
              <w:adjustRightInd w:val="0"/>
              <w:rPr>
                <w:rFonts w:ascii="CIDFont+F1" w:hAnsi="CIDFont+F1" w:cs="CIDFont+F1"/>
              </w:rPr>
            </w:pPr>
            <w:r>
              <w:rPr>
                <w:rFonts w:ascii="CIDFont+F1" w:hAnsi="CIDFont+F1"/>
              </w:rPr>
              <w:t>202x</w:t>
            </w:r>
          </w:p>
        </w:tc>
        <w:tc>
          <w:tcPr>
            <w:tcW w:w="3210" w:type="dxa"/>
          </w:tcPr>
          <w:p w14:paraId="5338E603" w14:textId="77777777" w:rsidR="002B479C" w:rsidRDefault="002B479C" w:rsidP="002B479C">
            <w:pPr>
              <w:autoSpaceDE w:val="0"/>
              <w:autoSpaceDN w:val="0"/>
              <w:adjustRightInd w:val="0"/>
              <w:rPr>
                <w:rFonts w:ascii="CIDFont+F1" w:hAnsi="CIDFont+F1" w:cs="CIDFont+F1"/>
              </w:rPr>
            </w:pPr>
            <w:r>
              <w:rPr>
                <w:rFonts w:ascii="CIDFont+F1" w:hAnsi="CIDFont+F1"/>
              </w:rPr>
              <w:t>202y</w:t>
            </w:r>
          </w:p>
          <w:p w14:paraId="48DCE6FE" w14:textId="77777777" w:rsidR="002B479C" w:rsidRDefault="002B479C" w:rsidP="00A7553C">
            <w:pPr>
              <w:autoSpaceDE w:val="0"/>
              <w:autoSpaceDN w:val="0"/>
              <w:adjustRightInd w:val="0"/>
              <w:rPr>
                <w:rFonts w:ascii="CIDFont+F1" w:hAnsi="CIDFont+F1" w:cs="CIDFont+F1"/>
              </w:rPr>
            </w:pPr>
          </w:p>
        </w:tc>
      </w:tr>
      <w:tr w:rsidR="002B479C" w14:paraId="64C0F133" w14:textId="77777777" w:rsidTr="002B479C">
        <w:tc>
          <w:tcPr>
            <w:tcW w:w="3209" w:type="dxa"/>
          </w:tcPr>
          <w:p w14:paraId="70B8C023" w14:textId="77777777" w:rsidR="002B479C" w:rsidRPr="005950DA" w:rsidRDefault="002B479C" w:rsidP="0038163A">
            <w:pPr>
              <w:autoSpaceDE w:val="0"/>
              <w:autoSpaceDN w:val="0"/>
              <w:adjustRightInd w:val="0"/>
              <w:rPr>
                <w:rFonts w:cstheme="minorHAnsi"/>
              </w:rPr>
            </w:pPr>
            <w:r>
              <w:t>Ersättning sammanlagt för tjänster av allmänt ekonomiskt intresse (total ersättning som</w:t>
            </w:r>
          </w:p>
          <w:p w14:paraId="7AAFE2E4" w14:textId="77777777" w:rsidR="002B479C" w:rsidRPr="005950DA" w:rsidRDefault="002B479C" w:rsidP="0038163A">
            <w:pPr>
              <w:autoSpaceDE w:val="0"/>
              <w:autoSpaceDN w:val="0"/>
              <w:adjustRightInd w:val="0"/>
              <w:rPr>
                <w:rFonts w:cstheme="minorHAnsi"/>
              </w:rPr>
            </w:pPr>
            <w:r>
              <w:t>beviljats för med stöd av kommissionens beslut om tjänster</w:t>
            </w:r>
          </w:p>
          <w:p w14:paraId="48A03F7C" w14:textId="77777777" w:rsidR="002B479C" w:rsidRPr="005950DA" w:rsidRDefault="00DE5584" w:rsidP="0038163A">
            <w:pPr>
              <w:autoSpaceDE w:val="0"/>
              <w:autoSpaceDN w:val="0"/>
              <w:adjustRightInd w:val="0"/>
              <w:rPr>
                <w:rFonts w:cstheme="minorHAnsi"/>
              </w:rPr>
            </w:pPr>
            <w:r>
              <w:t>av allmänt ekonomiskt intresse)</w:t>
            </w:r>
          </w:p>
          <w:p w14:paraId="46B05F39" w14:textId="77777777" w:rsidR="002B479C" w:rsidRDefault="002B479C" w:rsidP="00A7553C">
            <w:pPr>
              <w:autoSpaceDE w:val="0"/>
              <w:autoSpaceDN w:val="0"/>
              <w:adjustRightInd w:val="0"/>
              <w:rPr>
                <w:rFonts w:ascii="CIDFont+F1" w:hAnsi="CIDFont+F1" w:cs="CIDFont+F1"/>
              </w:rPr>
            </w:pPr>
          </w:p>
        </w:tc>
        <w:tc>
          <w:tcPr>
            <w:tcW w:w="3209" w:type="dxa"/>
          </w:tcPr>
          <w:p w14:paraId="7741EC1D" w14:textId="77777777" w:rsidR="002B479C" w:rsidRDefault="0094123B" w:rsidP="00A7553C">
            <w:pPr>
              <w:autoSpaceDE w:val="0"/>
              <w:autoSpaceDN w:val="0"/>
              <w:adjustRightInd w:val="0"/>
              <w:rPr>
                <w:rFonts w:ascii="CIDFont+F1" w:hAnsi="CIDFont+F1" w:cs="CIDFont+F1"/>
              </w:rPr>
            </w:pPr>
            <w:r>
              <w:rPr>
                <w:rFonts w:ascii="CIDFont+F1" w:hAnsi="CIDFont+F1"/>
              </w:rPr>
              <w:t>kompletteras</w:t>
            </w:r>
          </w:p>
        </w:tc>
        <w:tc>
          <w:tcPr>
            <w:tcW w:w="3210" w:type="dxa"/>
          </w:tcPr>
          <w:p w14:paraId="370C0FA5" w14:textId="77777777" w:rsidR="002B479C" w:rsidRDefault="0094123B" w:rsidP="00A7553C">
            <w:pPr>
              <w:autoSpaceDE w:val="0"/>
              <w:autoSpaceDN w:val="0"/>
              <w:adjustRightInd w:val="0"/>
              <w:rPr>
                <w:rFonts w:ascii="CIDFont+F1" w:hAnsi="CIDFont+F1" w:cs="CIDFont+F1"/>
              </w:rPr>
            </w:pPr>
            <w:r>
              <w:rPr>
                <w:rFonts w:ascii="CIDFont+F1" w:hAnsi="CIDFont+F1"/>
              </w:rPr>
              <w:t>kompletteras</w:t>
            </w:r>
          </w:p>
        </w:tc>
      </w:tr>
    </w:tbl>
    <w:p w14:paraId="58F21D93" w14:textId="77777777" w:rsidR="002B479C" w:rsidRDefault="002B479C" w:rsidP="00A7553C">
      <w:pPr>
        <w:autoSpaceDE w:val="0"/>
        <w:autoSpaceDN w:val="0"/>
        <w:adjustRightInd w:val="0"/>
        <w:spacing w:after="0" w:line="240" w:lineRule="auto"/>
        <w:rPr>
          <w:rFonts w:ascii="CIDFont+F1" w:hAnsi="CIDFont+F1" w:cs="CIDFont+F1"/>
        </w:rPr>
      </w:pPr>
    </w:p>
    <w:p w14:paraId="5B656765" w14:textId="77777777" w:rsidR="002B479C" w:rsidRDefault="002B479C" w:rsidP="00A7553C">
      <w:pPr>
        <w:autoSpaceDE w:val="0"/>
        <w:autoSpaceDN w:val="0"/>
        <w:adjustRightInd w:val="0"/>
        <w:spacing w:after="0" w:line="240" w:lineRule="auto"/>
        <w:rPr>
          <w:rFonts w:ascii="CIDFont+F1" w:hAnsi="CIDFont+F1" w:cs="CIDFont+F1"/>
        </w:rPr>
      </w:pPr>
    </w:p>
    <w:p w14:paraId="5C3C631C" w14:textId="77777777" w:rsidR="00A7553C" w:rsidRDefault="00A7553C" w:rsidP="00A7553C">
      <w:pPr>
        <w:autoSpaceDE w:val="0"/>
        <w:autoSpaceDN w:val="0"/>
        <w:adjustRightInd w:val="0"/>
        <w:spacing w:after="0" w:line="240" w:lineRule="auto"/>
        <w:rPr>
          <w:rFonts w:ascii="CIDFont+F1" w:hAnsi="CIDFont+F1" w:cs="CIDFont+F1"/>
        </w:rPr>
      </w:pPr>
    </w:p>
    <w:p w14:paraId="13B305B6" w14:textId="77777777" w:rsidR="00A7553C" w:rsidRDefault="00A7553C" w:rsidP="00A7553C">
      <w:pPr>
        <w:autoSpaceDE w:val="0"/>
        <w:autoSpaceDN w:val="0"/>
        <w:adjustRightInd w:val="0"/>
        <w:spacing w:after="0" w:line="240" w:lineRule="auto"/>
        <w:rPr>
          <w:rFonts w:cstheme="minorHAnsi"/>
          <w:b/>
          <w:sz w:val="24"/>
          <w:szCs w:val="24"/>
        </w:rPr>
      </w:pPr>
      <w:r>
        <w:rPr>
          <w:b/>
          <w:sz w:val="24"/>
        </w:rPr>
        <w:t>2. Beskrivning av tillämpningen av beslutet om tjänster av allmänt ekonomiskt intresse (2012/21/EU) år 2012</w:t>
      </w:r>
    </w:p>
    <w:p w14:paraId="394E4E05" w14:textId="5D076DD3" w:rsidR="004A3487" w:rsidRPr="00F811A1" w:rsidRDefault="008B7C59" w:rsidP="00A7553C">
      <w:pPr>
        <w:autoSpaceDE w:val="0"/>
        <w:autoSpaceDN w:val="0"/>
        <w:adjustRightInd w:val="0"/>
        <w:spacing w:after="0" w:line="240" w:lineRule="auto"/>
        <w:rPr>
          <w:rFonts w:cstheme="minorHAnsi"/>
          <w:bCs/>
          <w:sz w:val="24"/>
          <w:szCs w:val="24"/>
        </w:rPr>
      </w:pPr>
      <w:r>
        <w:rPr>
          <w:sz w:val="24"/>
        </w:rPr>
        <w:t>Det är fråga om</w:t>
      </w:r>
    </w:p>
    <w:p w14:paraId="293AE9F6" w14:textId="2273A047" w:rsidR="00A7553C" w:rsidRPr="005950DA" w:rsidRDefault="00A7553C" w:rsidP="00A7553C">
      <w:pPr>
        <w:autoSpaceDE w:val="0"/>
        <w:autoSpaceDN w:val="0"/>
        <w:adjustRightInd w:val="0"/>
        <w:spacing w:after="0" w:line="240" w:lineRule="auto"/>
        <w:rPr>
          <w:rFonts w:cstheme="minorHAnsi"/>
        </w:rPr>
      </w:pPr>
      <w:r>
        <w:t xml:space="preserve">5) Ersättning som inte överstiger ett årligt belopp på 15 miljoner euro för tillhandahållande av tjänster av allmänt ekonomiskt intresse (artikel </w:t>
      </w:r>
      <w:proofErr w:type="gramStart"/>
      <w:r>
        <w:t>2.1</w:t>
      </w:r>
      <w:proofErr w:type="gramEnd"/>
      <w:r>
        <w:t xml:space="preserve"> a)</w:t>
      </w:r>
    </w:p>
    <w:p w14:paraId="542E426E" w14:textId="77777777" w:rsidR="002B479C" w:rsidRPr="005950DA" w:rsidRDefault="00A7553C" w:rsidP="00A7553C">
      <w:pPr>
        <w:autoSpaceDE w:val="0"/>
        <w:autoSpaceDN w:val="0"/>
        <w:adjustRightInd w:val="0"/>
        <w:spacing w:after="0" w:line="240" w:lineRule="auto"/>
        <w:rPr>
          <w:rFonts w:cstheme="minorHAnsi"/>
        </w:rPr>
      </w:pPr>
      <w:r>
        <w:t>g) Övriga områden: tillhandahållande av veterinärtjänster</w:t>
      </w:r>
    </w:p>
    <w:p w14:paraId="0DB75B6B" w14:textId="77777777" w:rsidR="00226E35" w:rsidRDefault="00226E35" w:rsidP="005950DA">
      <w:pPr>
        <w:rPr>
          <w:rFonts w:cstheme="minorHAnsi"/>
          <w:b/>
        </w:rPr>
      </w:pPr>
    </w:p>
    <w:p w14:paraId="4E3AC919" w14:textId="77777777" w:rsidR="00A7553C" w:rsidRDefault="00A7553C" w:rsidP="005950DA">
      <w:pPr>
        <w:rPr>
          <w:rFonts w:cstheme="minorHAnsi"/>
          <w:b/>
        </w:rPr>
      </w:pPr>
      <w:r>
        <w:rPr>
          <w:b/>
        </w:rPr>
        <w:t>Utredning av tjänsten</w:t>
      </w:r>
    </w:p>
    <w:p w14:paraId="4041AAE2" w14:textId="77777777" w:rsidR="00457DAA" w:rsidRPr="00457DAA" w:rsidRDefault="00A21D70" w:rsidP="005950DA">
      <w:pPr>
        <w:rPr>
          <w:rFonts w:cstheme="minorHAnsi"/>
          <w:i/>
        </w:rPr>
      </w:pPr>
      <w:r>
        <w:t>A. Allmänna omständigheter</w:t>
      </w:r>
      <w:r>
        <w:rPr>
          <w:i/>
        </w:rPr>
        <w:t xml:space="preserve"> </w:t>
      </w:r>
    </w:p>
    <w:p w14:paraId="32458209" w14:textId="77777777" w:rsidR="00185FB1" w:rsidRDefault="00A7553C" w:rsidP="00185FB1">
      <w:pPr>
        <w:spacing w:line="276" w:lineRule="auto"/>
      </w:pPr>
      <w:r>
        <w:t xml:space="preserve">Om marknaden fungerar bristfälligt och myndigheten vill säkerställa att medborgarna under alla omständigheter har tillgång till en viktig tjänst, är det möjligt att under vissa villkor tillämpa bestämmelserna om statligt stöd till tjänster av allmänt ekonomiskt intresse (SGEI). </w:t>
      </w:r>
    </w:p>
    <w:p w14:paraId="2F9A5642" w14:textId="77777777" w:rsidR="00185FB1" w:rsidRPr="005260D2" w:rsidRDefault="00185FB1" w:rsidP="00185FB1">
      <w:r>
        <w:t>Finland är det mest glest bebodda landet i Europeiska unionen. Befolkningstätheten i unionen är i genomsnitt cirka 109 invånare/km², medan genomsnittet i Finland är endast cirka 18,2 invånare/km². I Finlands nordligaste landskap – Lappland och Kajanaland – är befolkningstätheten endast 2 respektive 4 invånare/km². Av Finlands areal består 82,4 procent huvudsakligen av områden med landsbygdskaraktär. Endast 2,8 procent av arealen är huvudsakligen stadsliknande område och 14,8 procent s.k. mellanområde. Den procentuella andelen av områden med landsbygdskaraktär av Finlands yta är nästan dubbelt så stor jämfört med motsvarande andel inom EU. Därtill är den procentuella andelen av Finlands befolkning som bor i områden som klassificerats som landsbygd nästan dubbelt så stor som motsvarande andel av EU:s befolkning. Finland är den stat i världen som har mest vattenområden och den stat i Europa som har mest skärgård. Avstånden mellan städerna och även små kommuncentra är långa.</w:t>
      </w:r>
    </w:p>
    <w:p w14:paraId="4EEBE44A" w14:textId="77777777" w:rsidR="00185FB1" w:rsidRPr="005260D2" w:rsidRDefault="00185FB1" w:rsidP="00185FB1">
      <w:r>
        <w:lastRenderedPageBreak/>
        <w:t xml:space="preserve">Med tanke på djurens hälsa och välbefinnande samt folkhälsan är det nödvändigt att vissa grundläggande veterinärtjänster är tillgängliga i hela landet inom rimlig tid, vid behov dygnet runt samt till sådant pris att djurägarna har, med beaktande av bland annat resekostnader, verkliga möjligheter att använda tjänsterna. </w:t>
      </w:r>
    </w:p>
    <w:p w14:paraId="4AA1BB35" w14:textId="77777777" w:rsidR="00185FB1" w:rsidRPr="00185FB1" w:rsidRDefault="00185FB1" w:rsidP="00185FB1">
      <w:r>
        <w:t xml:space="preserve">Utan skattestöd vore detta inte möjligt. Flera utredningar visar att det råder en omfattande brist på dessa tjänster på marknaden. I flera områden tillhandahålls enskilda tjänster, men dessa är huvudsakligen begränsade till enbart vissa arter av sällskapsdjur och till vissa tider under dygnet (dagtid). Det privata utbudet är inte tillnärmelsevis tillräckligt omfattande att tillgodose behovet av nödvändiga tjänster av allmänt intresse. Enskilda veterinärstationer är inte förpliktade att ha jour i Finland och det finns inte ett enda område där det tillhandahålls privata veterinärtjänster för produktionsdjur under jourtid.  </w:t>
      </w:r>
    </w:p>
    <w:p w14:paraId="3997AF4E" w14:textId="6D46C205" w:rsidR="00185FB1" w:rsidRPr="00185FB1" w:rsidRDefault="00185FB1" w:rsidP="00185FB1">
      <w:r>
        <w:t xml:space="preserve">Då Finlands befolkningstäthet är endast cirka 16 procent av genomsnittet i EU är ordnandet av tjänsterna på marknadsvillkor på ett sätt som uppfyller de nödvändiga villkoren inte ett realistiskt alternativ. </w:t>
      </w:r>
    </w:p>
    <w:p w14:paraId="0B2D0F04" w14:textId="77777777" w:rsidR="00185FB1" w:rsidRPr="00185FB1" w:rsidRDefault="00B2028B" w:rsidP="00185FB1">
      <w:r>
        <w:t xml:space="preserve">Veterinärvården i Finland anses ha tillräcklig kapacitet endast om kommunerna (309 i Finland) ser till att det finns tillräckligt med nödvändiga grundläggande tjänster för alla djurarter som behöver dem och, beroende på de regionala behoven, organiserar dessa tjänster eller en del av dem själva. I praktiken sker organiseringen i samarbete med de närliggande kommunerna enligt kommunallagen. Tjänster som organiseras av kommunerna är nödvändiga för att trygga tillgången på nödvändiga tjänster och ordna ett tillräckligt patientunderlag i kommunalveterinärernas ämbetsditrikt, utan att ämbetsdistrikten blir oskäligt stora och verksamhetens syfte därigenom äventyras.  </w:t>
      </w:r>
    </w:p>
    <w:p w14:paraId="5AA5D176" w14:textId="77777777" w:rsidR="00185FB1" w:rsidRPr="001B35F7" w:rsidRDefault="00B2028B" w:rsidP="00185FB1">
      <w:r>
        <w:t xml:space="preserve">Kommunalveterinärer som tillhandahåller veterinärtjänster fungerar också som officiella veterinärer i tjänsteuppgifter i anslutning till djurskydds- och djursjukdomstillsynen, åtminstone som kompletterande resurser. Det är mycket vanligt att även dessa veterinärer tar hand om tillsynsuppgifter i synnerhet när kommunens tillsynsveterinär är borta. Veterinärer som tillhandahåller veterinärtjänster deltar på ett omfattande sätt i den fortlöpande tillsynen över djursjukdomar, till exempel salmonellatillsynen, vars syfte det är att upprätthålla en bra sjukdomssituation. Det kommunala systemet möjliggör snabba reaktioner vid plötsliga utbrott av sjukdomar. Systemets funktion baserar sig delvis på att veterinärer som tillhandahåller veterinärtjänster i epidemisituationer bildar en kunnig tilläggsresurs, som kan riktas enligt behov med tjänsteorder till de områden där förebyggandet av sjukdomen förutsätter mera arbetskraft.  </w:t>
      </w:r>
    </w:p>
    <w:p w14:paraId="266180DF" w14:textId="569E4364" w:rsidR="00185FB1" w:rsidRPr="00185FB1" w:rsidRDefault="00185FB1" w:rsidP="00185FB1">
      <w:r>
        <w:t xml:space="preserve">Det samhälleliga behovet sammanför skötseln av de nämnda myndighetsuppgifterna och produktionen av veterinärtjänster, vilket innebär att de SGEI-tjänster i förteckningen som ingår i 8 § i veterinärvårdslagen (285/2023) i regel inte kan bolagiseras i kommunala aktiebolag, utan de måste produceras som en del av kommunens egen verksamhet. Aktiebolag kan inte ha tjänstebefattningar och enligt Finlands grundlag kan de inte sköta den helhet av myndighetsuppgifter som det med tanke på det allmänna intresset anses vara väsentligt att kommunalveterinärerna sköter. I många ämbetsdistrikt som geografiskt sett är mycket omfattande och omfattar flera kommuner, skulle </w:t>
      </w:r>
      <w:proofErr w:type="gramStart"/>
      <w:r>
        <w:t>det  efter</w:t>
      </w:r>
      <w:proofErr w:type="gramEnd"/>
      <w:r>
        <w:t xml:space="preserve"> en bolagisering finnas endast en officiell veterinär som handhar myndighetsuppgifter, om de övriga kommunalveterinärerna arbetar i aktiebolaget. Detta skulle göra bland annat systemet för övervakning av djurens hälsa och välbefinnande mycket sårbart.</w:t>
      </w:r>
    </w:p>
    <w:p w14:paraId="0599BF29" w14:textId="5596EAA3" w:rsidR="00A32A04" w:rsidRDefault="007939A2" w:rsidP="005950DA">
      <w:r>
        <w:t>Enligt veterinärvårdslagen ansvarar kommunerna för att trygga de nödvändiga veterinärtjänster av allmänt intresse som räknas upp närmare i 8 § i lagen.  Enligt 9 § i lagen bestäms omfattningen av varje organisatörs organiseringsansvar på basis av regionala behov.  Kommunen ska organisera de tjänster som avses i 8 § åtminstone för djur som hålls för livsmedels- eller pälsproduktion.  Dessutom ska det ordnas sådan omedelbar bedömning och vård som krävs när ett djur plötsligt och allvarligt insjuknar eller skadas eller om en sjukdom förvärras, och som inte kan skjutas upp utan att sjukdomen förvärras eller djuret utsätts för avsevärt lindande, samt avlivning av ett djur på djurskyddsgrunder (</w:t>
      </w:r>
      <w:r>
        <w:rPr>
          <w:i/>
          <w:iCs/>
        </w:rPr>
        <w:t>akut veterinärhjälp</w:t>
      </w:r>
      <w:r>
        <w:t xml:space="preserve">). Andra tjänster enligt 8 § omfattas av organiseringsansvaret till den del organiseringen behövs för att säkerställa en tillräcklig regional tillgång av tjänsterna till ett skäligt pris samt en ändamålsenlig skötsel av de uppgifter </w:t>
      </w:r>
      <w:r>
        <w:lastRenderedPageBreak/>
        <w:t>som nämns i 2 mom. och andra uppgifter som föreskrivs för organisatören i denna lag. Vid dimensioneringen av veterinärtjänster som omfattas av organiseringsansvaret ska de tjänster som privata veterinärtjänsteproducenter tillhandahåller inom organisatörens område beaktas.</w:t>
      </w:r>
    </w:p>
    <w:p w14:paraId="76473AB1" w14:textId="77777777" w:rsidR="00457DAA" w:rsidRPr="00457DAA" w:rsidRDefault="00A21D70" w:rsidP="005950DA">
      <w:pPr>
        <w:rPr>
          <w:i/>
        </w:rPr>
      </w:pPr>
      <w:r>
        <w:t>B.</w:t>
      </w:r>
      <w:r>
        <w:rPr>
          <w:i/>
        </w:rPr>
        <w:t xml:space="preserve"> Regionala omständigheter</w:t>
      </w:r>
    </w:p>
    <w:p w14:paraId="25A39E59" w14:textId="10ED3856" w:rsidR="00500FC5" w:rsidRDefault="00A21D70" w:rsidP="00A21D70">
      <w:r>
        <w:t>B.1.</w:t>
      </w:r>
      <w:r>
        <w:rPr>
          <w:b/>
        </w:rPr>
        <w:t xml:space="preserve"> </w:t>
      </w:r>
      <w:r>
        <w:rPr>
          <w:i/>
        </w:rPr>
        <w:t xml:space="preserve">Veterinärtjänsternas tillgänglighet i området </w:t>
      </w:r>
    </w:p>
    <w:p w14:paraId="1E2DA600" w14:textId="3E264581" w:rsidR="00A21D70" w:rsidRPr="001B35F7" w:rsidRDefault="004A3487" w:rsidP="00BB119B">
      <w:pPr>
        <w:rPr>
          <w:b/>
          <w:strike/>
        </w:rPr>
      </w:pPr>
      <w:r>
        <w:t>Som SGEI-tjänster betraktas sådana veterinärtjänster som nämns i följande punkt och om vars organisering [organisatören/kommunen] har beslutat om</w:t>
      </w:r>
    </w:p>
    <w:p w14:paraId="58461A80" w14:textId="2237C016" w:rsidR="00500FC5" w:rsidRPr="001B35F7" w:rsidRDefault="00A21D70" w:rsidP="00A21D70">
      <w:r>
        <w:t>B.2.</w:t>
      </w:r>
      <w:r>
        <w:rPr>
          <w:b/>
        </w:rPr>
        <w:t xml:space="preserve"> </w:t>
      </w:r>
      <w:r>
        <w:t>SGEI-tjänster som ska organiseras och deras organiseringssätt</w:t>
      </w:r>
    </w:p>
    <w:p w14:paraId="14738BCD" w14:textId="77777777" w:rsidR="00A8199A" w:rsidRPr="001B35F7" w:rsidRDefault="00A8199A" w:rsidP="00A8199A">
      <w:r>
        <w:t>B.2.1. Veterinärtjänster för livsmedels- eller pälsproduktion enligt 8 § i veterinärvårdslagen och akut veterinärhjälp för alla husdjur (9 § 2 mom. i veterinärvårdslagen)</w:t>
      </w:r>
    </w:p>
    <w:p w14:paraId="2F318E72" w14:textId="78235F9E" w:rsidR="004A3487" w:rsidRPr="001B35F7" w:rsidRDefault="00A8199A" w:rsidP="00122C50">
      <w:pPr>
        <w:pStyle w:val="Luettelokappale"/>
        <w:numPr>
          <w:ilvl w:val="0"/>
          <w:numId w:val="14"/>
        </w:numPr>
      </w:pPr>
      <w:bookmarkStart w:id="0" w:name="_Hlk184121799"/>
      <w:r>
        <w:t>•</w:t>
      </w:r>
      <w:bookmarkEnd w:id="0"/>
      <w:r>
        <w:t xml:space="preserve"> Kompletteras med en beskrivning av organiseringssättet (organisatörens eller kommunens egen produktion/köpt tjänst från en privat aktör/HU)</w:t>
      </w:r>
    </w:p>
    <w:p w14:paraId="7DD136B4" w14:textId="5A2DC478" w:rsidR="00A21D70" w:rsidRPr="001B35F7" w:rsidRDefault="00A8199A" w:rsidP="00A33D0E">
      <w:r>
        <w:t>B.2.2. Övriga veterinärtjänster som avses i 8 § i veterinärvårdslagen och som organiseras av [kommunen/organisatören] (9 § 3 mom. i veterinärvårdslagen)</w:t>
      </w:r>
    </w:p>
    <w:p w14:paraId="5E2C968B" w14:textId="77777777" w:rsidR="00A8199A" w:rsidRPr="001B35F7" w:rsidRDefault="00A8199A" w:rsidP="00122C50">
      <w:pPr>
        <w:ind w:left="1304"/>
      </w:pPr>
      <w:r>
        <w:t>• Denna punkt inkluderas endast om det organiseras tjänster enligt 9 § 3 mom. i veterinärvårdslagen.</w:t>
      </w:r>
    </w:p>
    <w:p w14:paraId="6F9835C6" w14:textId="77777777" w:rsidR="00A8199A" w:rsidRPr="001B35F7" w:rsidRDefault="00A8199A" w:rsidP="00122C50">
      <w:pPr>
        <w:ind w:left="1304"/>
      </w:pPr>
      <w:r>
        <w:t xml:space="preserve">• Kompletteras med motiveringar till organiserandet av tjänsterna </w:t>
      </w:r>
    </w:p>
    <w:p w14:paraId="3D53E09F" w14:textId="6A36DC3D" w:rsidR="00A8199A" w:rsidRPr="00500FC5" w:rsidRDefault="00A8199A" w:rsidP="00122C50">
      <w:pPr>
        <w:ind w:left="1304"/>
      </w:pPr>
      <w:r>
        <w:t>• Kompletteras med en beskrivning av organiseringssättet (organisatörens eller kommunens egen produktion/köpt tjänst från en privat aktör/HU)</w:t>
      </w:r>
    </w:p>
    <w:p w14:paraId="55DCF89F" w14:textId="77777777" w:rsidR="00A8199A" w:rsidRPr="002D1D27" w:rsidRDefault="00A8199A" w:rsidP="00A21D70"/>
    <w:p w14:paraId="193AC2D5" w14:textId="77777777" w:rsidR="0059390C" w:rsidRPr="0059390C" w:rsidRDefault="00A21D70" w:rsidP="005950DA">
      <w:pPr>
        <w:rPr>
          <w:b/>
          <w:color w:val="FF0000"/>
        </w:rPr>
      </w:pPr>
      <w:r>
        <w:t>C.</w:t>
      </w:r>
      <w:r>
        <w:rPr>
          <w:b/>
        </w:rPr>
        <w:t xml:space="preserve"> </w:t>
      </w:r>
      <w:r>
        <w:rPr>
          <w:i/>
        </w:rPr>
        <w:t>Offentligt stöd som beviljats för veterinärtjänster</w:t>
      </w:r>
    </w:p>
    <w:p w14:paraId="7E511B66" w14:textId="78C1414A" w:rsidR="0054061E" w:rsidRPr="001B35F7" w:rsidRDefault="007939A2" w:rsidP="005950DA">
      <w:r>
        <w:t>På organiseringen av veterinärtjänster och det offentliga stödet som beviljas för det tillämpas Europeiska kommissionens beslut om tillämpningen av artikel 106.2 i fördraget om Europeiska unionens funktionssätt på statligt stöd i form av ersättning för allmännyttiga tjänster som beviljas vissa företag som fått i uppdrag att tillhandahålla tjänster av allmänt ekonomiskt intresse (2012/21/EU). Kommissionens beslut i fråga kan tillämpas om det är fråga om en årlig ersättning på 15 miljoner euro för produktion av SGEI-tjänster inom andra områden än transport och infrastruktur. Stödet för organiseringen av veterinärtjänster varierar årligen, men den årliga ersättningen är betydligt mindre än 15 miljoner euro.</w:t>
      </w:r>
    </w:p>
    <w:p w14:paraId="089516D6" w14:textId="16C4DA8C" w:rsidR="00A7553C" w:rsidRPr="001B35F7" w:rsidRDefault="00AA0644" w:rsidP="005950DA">
      <w:r>
        <w:t xml:space="preserve"> Åren 202x och 202y har [kommunen/organisatören] använt xx euro på SGEI-tjänster.</w:t>
      </w:r>
    </w:p>
    <w:p w14:paraId="5A99D01B" w14:textId="77777777" w:rsidR="00AA0644" w:rsidRPr="001B35F7" w:rsidRDefault="00AA0644" w:rsidP="00AA0644">
      <w:pPr>
        <w:rPr>
          <w:b/>
        </w:rPr>
      </w:pPr>
    </w:p>
    <w:p w14:paraId="59D176C5" w14:textId="77777777" w:rsidR="00513BC6" w:rsidRPr="001B35F7" w:rsidRDefault="00513BC6" w:rsidP="00AA0644">
      <w:pPr>
        <w:rPr>
          <w:b/>
        </w:rPr>
      </w:pPr>
      <w:r>
        <w:rPr>
          <w:b/>
        </w:rPr>
        <w:t>3. Tilldelning (uppdrag)</w:t>
      </w:r>
    </w:p>
    <w:p w14:paraId="53C65109" w14:textId="77777777" w:rsidR="00EC5C55" w:rsidRPr="001B35F7" w:rsidRDefault="00513BC6" w:rsidP="00AA0644">
      <w:pPr>
        <w:rPr>
          <w:b/>
          <w:i/>
        </w:rPr>
      </w:pPr>
      <w:r>
        <w:rPr>
          <w:b/>
          <w:i/>
        </w:rPr>
        <w:t>Tilldelningens form</w:t>
      </w:r>
    </w:p>
    <w:p w14:paraId="7A1FAE91" w14:textId="6F7C82B6" w:rsidR="00A7553C" w:rsidRPr="001B35F7" w:rsidRDefault="00A7553C" w:rsidP="00AA0644">
      <w:r>
        <w:t xml:space="preserve">Uppdraget har getts med [kommunens/organisatörens] beslut Dnr xx </w:t>
      </w:r>
    </w:p>
    <w:p w14:paraId="2C78EAE3" w14:textId="47821551" w:rsidR="00A7553C" w:rsidRDefault="00A7553C" w:rsidP="00AA0644">
      <w:r>
        <w:t xml:space="preserve">Beslutet innehåller villkoren för meddelande av beslutets egentliga skyldighet att tillhandahålla tjänster, dess varaktighet och tjänsteproduktion. </w:t>
      </w:r>
    </w:p>
    <w:p w14:paraId="71B6904E" w14:textId="77777777" w:rsidR="00E85D9C" w:rsidRDefault="00E85D9C" w:rsidP="00AA0644"/>
    <w:p w14:paraId="19B60FCA" w14:textId="77777777" w:rsidR="00E85D9C" w:rsidRDefault="00E85D9C" w:rsidP="00AA0644"/>
    <w:p w14:paraId="35D7C3D5" w14:textId="77777777" w:rsidR="00A7553C" w:rsidRPr="001B35F7" w:rsidRDefault="00A7553C" w:rsidP="007F71CE">
      <w:pPr>
        <w:rPr>
          <w:b/>
          <w:i/>
        </w:rPr>
      </w:pPr>
      <w:r>
        <w:rPr>
          <w:b/>
          <w:i/>
        </w:rPr>
        <w:t>Tilldelningens varaktighet</w:t>
      </w:r>
    </w:p>
    <w:p w14:paraId="31809327" w14:textId="77777777" w:rsidR="00A7553C" w:rsidRPr="001B35F7" w:rsidRDefault="00A7553C" w:rsidP="007F71CE">
      <w:r>
        <w:t>Tilldelningens varaktighet är [] år (1.1.20xx–31.12.20yy).</w:t>
      </w:r>
    </w:p>
    <w:p w14:paraId="2C9A11AA" w14:textId="77777777" w:rsidR="00A32A04" w:rsidRPr="001B35F7" w:rsidRDefault="00A32A04" w:rsidP="007F71CE"/>
    <w:p w14:paraId="2DA48013" w14:textId="77777777" w:rsidR="00A7553C" w:rsidRPr="001B35F7" w:rsidRDefault="00A7553C" w:rsidP="00AA0644">
      <w:pPr>
        <w:rPr>
          <w:b/>
          <w:i/>
        </w:rPr>
      </w:pPr>
      <w:r>
        <w:rPr>
          <w:b/>
          <w:i/>
        </w:rPr>
        <w:t>Utredning om huruvida företag ges exklusiva eller särskilda rättigheter.</w:t>
      </w:r>
    </w:p>
    <w:p w14:paraId="1AD22029" w14:textId="77777777" w:rsidR="00A7553C" w:rsidRPr="001B35F7" w:rsidRDefault="00A7553C" w:rsidP="00AA0644">
      <w:r>
        <w:t>SGEI-tjänsteproducenter har inte getts exklusiv eller särskild rättighet att tillhandahålla veterinärtjänster.</w:t>
      </w:r>
    </w:p>
    <w:p w14:paraId="0A2894C6" w14:textId="77777777" w:rsidR="00A32A04" w:rsidRPr="001B35F7" w:rsidRDefault="00A32A04" w:rsidP="00AA0644"/>
    <w:p w14:paraId="51E0152B" w14:textId="77777777" w:rsidR="00A7553C" w:rsidRPr="001B35F7" w:rsidRDefault="00A7553C" w:rsidP="00AA0644">
      <w:pPr>
        <w:rPr>
          <w:b/>
          <w:i/>
        </w:rPr>
      </w:pPr>
      <w:r>
        <w:rPr>
          <w:b/>
          <w:i/>
        </w:rPr>
        <w:t>Vilka stödinstrument har använts?</w:t>
      </w:r>
    </w:p>
    <w:p w14:paraId="1C98F707" w14:textId="77777777" w:rsidR="00A32A04" w:rsidRPr="001B35F7" w:rsidRDefault="00232144" w:rsidP="00041510">
      <w:pPr>
        <w:pStyle w:val="Luettelokappale"/>
        <w:numPr>
          <w:ilvl w:val="0"/>
          <w:numId w:val="12"/>
        </w:numPr>
        <w:rPr>
          <w:b/>
        </w:rPr>
      </w:pPr>
      <w:r>
        <w:rPr>
          <w:b/>
        </w:rPr>
        <w:t>stödinstrumenten kompletteras</w:t>
      </w:r>
    </w:p>
    <w:p w14:paraId="33498A4E" w14:textId="77777777" w:rsidR="00A7553C" w:rsidRPr="001B35F7" w:rsidRDefault="00A7553C" w:rsidP="00AA0644">
      <w:pPr>
        <w:rPr>
          <w:b/>
          <w:i/>
        </w:rPr>
      </w:pPr>
      <w:r>
        <w:rPr>
          <w:b/>
          <w:i/>
        </w:rPr>
        <w:t>Det normala ersättningssystemet för tjänsterna i fråga och baserar sig den tillämpade metoden på hänförandet av kostnaderna eller de nettokostnader som undviks.</w:t>
      </w:r>
    </w:p>
    <w:p w14:paraId="274BA61C" w14:textId="77777777" w:rsidR="00041510" w:rsidRPr="001B35F7" w:rsidRDefault="00041510" w:rsidP="00041510">
      <w:pPr>
        <w:pStyle w:val="Luettelokappale"/>
        <w:numPr>
          <w:ilvl w:val="0"/>
          <w:numId w:val="12"/>
        </w:numPr>
        <w:rPr>
          <w:b/>
        </w:rPr>
      </w:pPr>
      <w:r>
        <w:rPr>
          <w:b/>
        </w:rPr>
        <w:t>kompletteras</w:t>
      </w:r>
    </w:p>
    <w:p w14:paraId="1C30367F" w14:textId="77777777" w:rsidR="00A7553C" w:rsidRPr="001B35F7" w:rsidRDefault="00A7553C" w:rsidP="00AA0644">
      <w:pPr>
        <w:rPr>
          <w:rFonts w:ascii="CIDFont+F1" w:hAnsi="CIDFont+F1" w:cs="CIDFont+F1"/>
        </w:rPr>
      </w:pPr>
    </w:p>
    <w:p w14:paraId="00A77411" w14:textId="77777777" w:rsidR="00A7553C" w:rsidRPr="001B35F7" w:rsidRDefault="00A7553C" w:rsidP="00AA0644">
      <w:pPr>
        <w:rPr>
          <w:b/>
          <w:i/>
        </w:rPr>
      </w:pPr>
      <w:r>
        <w:rPr>
          <w:b/>
          <w:i/>
        </w:rPr>
        <w:t>Normala arrangemang för att undvika för stora ersättningar och återbetalning</w:t>
      </w:r>
    </w:p>
    <w:p w14:paraId="331C600E" w14:textId="77777777" w:rsidR="00041510" w:rsidRPr="001B35F7" w:rsidRDefault="00041510" w:rsidP="000A7DD4">
      <w:pPr>
        <w:pStyle w:val="Luettelokappale"/>
        <w:numPr>
          <w:ilvl w:val="0"/>
          <w:numId w:val="12"/>
        </w:numPr>
        <w:rPr>
          <w:b/>
        </w:rPr>
      </w:pPr>
      <w:r>
        <w:rPr>
          <w:b/>
        </w:rPr>
        <w:t>kompletteras</w:t>
      </w:r>
    </w:p>
    <w:p w14:paraId="629DD58C" w14:textId="2C99DDAB" w:rsidR="004D3C31" w:rsidRDefault="00B06083" w:rsidP="00AA0644">
      <w:pPr>
        <w:rPr>
          <w:sz w:val="24"/>
          <w:szCs w:val="24"/>
        </w:rPr>
      </w:pPr>
      <w:bookmarkStart w:id="1" w:name="_Hlk184649695"/>
      <w:r>
        <w:rPr>
          <w:sz w:val="24"/>
        </w:rPr>
        <w:t xml:space="preserve">I tilldelningen konstateras att ersättningsbeloppet inte får överstiga vad som är nödvändigt för att täcka de kostnader som tillgodoseendet av skyldigheterna orsakar. </w:t>
      </w:r>
      <w:bookmarkEnd w:id="1"/>
    </w:p>
    <w:p w14:paraId="5C1646BE" w14:textId="77777777" w:rsidR="0054061E" w:rsidRDefault="0054061E" w:rsidP="00AA0644">
      <w:pPr>
        <w:rPr>
          <w:sz w:val="24"/>
          <w:szCs w:val="24"/>
        </w:rPr>
      </w:pPr>
    </w:p>
    <w:p w14:paraId="5DA4D850" w14:textId="77777777" w:rsidR="00A32A04" w:rsidRDefault="00A32A04" w:rsidP="00AA0644">
      <w:pPr>
        <w:rPr>
          <w:sz w:val="24"/>
          <w:szCs w:val="24"/>
        </w:rPr>
      </w:pPr>
    </w:p>
    <w:p w14:paraId="180B677B" w14:textId="77777777" w:rsidR="00A7553C" w:rsidRPr="001B35F7" w:rsidRDefault="00041510" w:rsidP="0054061E">
      <w:pPr>
        <w:rPr>
          <w:rFonts w:cstheme="minorHAnsi"/>
          <w:b/>
        </w:rPr>
      </w:pPr>
      <w:r>
        <w:rPr>
          <w:b/>
        </w:rPr>
        <w:t>4. Tredje parters klagomål</w:t>
      </w:r>
    </w:p>
    <w:p w14:paraId="088D9B2D" w14:textId="77777777" w:rsidR="00A32A04" w:rsidRDefault="00041510" w:rsidP="00A32A04">
      <w:pPr>
        <w:pStyle w:val="Luettelokappale"/>
        <w:ind w:left="360"/>
        <w:rPr>
          <w:rFonts w:cstheme="minorHAnsi"/>
          <w:b/>
        </w:rPr>
      </w:pPr>
      <w:r>
        <w:rPr>
          <w:b/>
        </w:rPr>
        <w:t>- kompletteras</w:t>
      </w:r>
    </w:p>
    <w:p w14:paraId="3B86B762" w14:textId="77777777" w:rsidR="00A32A04" w:rsidRPr="00A32A04" w:rsidRDefault="00A32A04" w:rsidP="00A32A04">
      <w:pPr>
        <w:pStyle w:val="Luettelokappale"/>
        <w:ind w:left="360"/>
        <w:rPr>
          <w:rFonts w:cstheme="minorHAnsi"/>
          <w:b/>
        </w:rPr>
      </w:pPr>
    </w:p>
    <w:p w14:paraId="3A36009F" w14:textId="77777777" w:rsidR="00A7553C" w:rsidRPr="004D3C31" w:rsidRDefault="00041510" w:rsidP="004D3C31">
      <w:pPr>
        <w:rPr>
          <w:rFonts w:cstheme="minorHAnsi"/>
        </w:rPr>
      </w:pPr>
      <w:r>
        <w:rPr>
          <w:b/>
        </w:rPr>
        <w:t>5</w:t>
      </w:r>
      <w:r>
        <w:t xml:space="preserve">. </w:t>
      </w:r>
      <w:r>
        <w:rPr>
          <w:b/>
        </w:rPr>
        <w:t>Övriga frågor</w:t>
      </w:r>
    </w:p>
    <w:p w14:paraId="44C29B51" w14:textId="1FBE7C4E" w:rsidR="0084379B" w:rsidRPr="0084379B" w:rsidRDefault="0084379B" w:rsidP="0084379B">
      <w:r>
        <w:t xml:space="preserve">Enligt 33 § i veterinärvårdslagen tillämpas på veterinärtjänster som hör till kommunens organiseringsansvar samt offentliga tjänster som universitetet producerar dessutom de insynsskyldigheter som avses i kommissionens direktiv 2006/111/EG (s.k. </w:t>
      </w:r>
      <w:r>
        <w:rPr>
          <w:i/>
        </w:rPr>
        <w:t>insynsdirektivet</w:t>
      </w:r>
      <w:r>
        <w:t xml:space="preserve">) Bestämmelser om genomförande av direktivet finns i lagen om skyldighet att medge insyn i och lämna uppgifter om vissa </w:t>
      </w:r>
      <w:proofErr w:type="gramStart"/>
      <w:r>
        <w:t>företags ekonomiska</w:t>
      </w:r>
      <w:proofErr w:type="gramEnd"/>
      <w:r>
        <w:t xml:space="preserve"> verksamhet (19/2003). </w:t>
      </w:r>
    </w:p>
    <w:p w14:paraId="78CD5E2B" w14:textId="77777777" w:rsidR="0084379B" w:rsidRPr="0084379B" w:rsidRDefault="0084379B" w:rsidP="0084379B"/>
    <w:sectPr w:rsidR="0084379B" w:rsidRPr="0084379B">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2">
    <w:altName w:val="Calibri"/>
    <w:panose1 w:val="00000000000000000000"/>
    <w:charset w:val="00"/>
    <w:family w:val="auto"/>
    <w:notTrueType/>
    <w:pitch w:val="default"/>
    <w:sig w:usb0="00000003" w:usb1="00000000" w:usb2="00000000" w:usb3="00000000" w:csb0="00000001" w:csb1="00000000"/>
  </w:font>
  <w:font w:name="CIDFont+F1">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E5D72"/>
    <w:multiLevelType w:val="hybridMultilevel"/>
    <w:tmpl w:val="FF94669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9D93E54"/>
    <w:multiLevelType w:val="hybridMultilevel"/>
    <w:tmpl w:val="E84AE568"/>
    <w:lvl w:ilvl="0" w:tplc="040B000F">
      <w:start w:val="3"/>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1A2A76B7"/>
    <w:multiLevelType w:val="hybridMultilevel"/>
    <w:tmpl w:val="00121FCA"/>
    <w:lvl w:ilvl="0" w:tplc="3DA43E22">
      <w:start w:val="2"/>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1E3510D0"/>
    <w:multiLevelType w:val="multilevel"/>
    <w:tmpl w:val="6EE828EA"/>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ED73745"/>
    <w:multiLevelType w:val="multilevel"/>
    <w:tmpl w:val="9A2CEF4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EEC5A50"/>
    <w:multiLevelType w:val="hybridMultilevel"/>
    <w:tmpl w:val="FDCAE1A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386658BD"/>
    <w:multiLevelType w:val="hybridMultilevel"/>
    <w:tmpl w:val="134C9E20"/>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49881853"/>
    <w:multiLevelType w:val="hybridMultilevel"/>
    <w:tmpl w:val="7BC6C984"/>
    <w:lvl w:ilvl="0" w:tplc="BF140B64">
      <w:start w:val="7"/>
      <w:numFmt w:val="bullet"/>
      <w:lvlText w:val="-"/>
      <w:lvlJc w:val="left"/>
      <w:pPr>
        <w:ind w:left="720" w:hanging="360"/>
      </w:pPr>
      <w:rPr>
        <w:rFonts w:ascii="Calibri" w:eastAsiaTheme="minorHAnsi" w:hAnsi="Calibri" w:cs="Calibri" w:hint="default"/>
        <w:b w:val="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58CE32D5"/>
    <w:multiLevelType w:val="hybridMultilevel"/>
    <w:tmpl w:val="E6E0A054"/>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9" w15:restartNumberingAfterBreak="0">
    <w:nsid w:val="5C9B5F3C"/>
    <w:multiLevelType w:val="hybridMultilevel"/>
    <w:tmpl w:val="B8DC8622"/>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0" w15:restartNumberingAfterBreak="0">
    <w:nsid w:val="5CF90064"/>
    <w:multiLevelType w:val="hybridMultilevel"/>
    <w:tmpl w:val="0CD4693E"/>
    <w:lvl w:ilvl="0" w:tplc="AF1C534C">
      <w:start w:val="3"/>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671306FA"/>
    <w:multiLevelType w:val="hybridMultilevel"/>
    <w:tmpl w:val="9FDC2E82"/>
    <w:lvl w:ilvl="0" w:tplc="040B000F">
      <w:start w:val="3"/>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78436D59"/>
    <w:multiLevelType w:val="multilevel"/>
    <w:tmpl w:val="73667B1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7E2F17EB"/>
    <w:multiLevelType w:val="hybridMultilevel"/>
    <w:tmpl w:val="A9C6AD02"/>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num w:numId="1" w16cid:durableId="1219320540">
    <w:abstractNumId w:val="5"/>
  </w:num>
  <w:num w:numId="2" w16cid:durableId="454756969">
    <w:abstractNumId w:val="0"/>
  </w:num>
  <w:num w:numId="3" w16cid:durableId="140587946">
    <w:abstractNumId w:val="6"/>
  </w:num>
  <w:num w:numId="4" w16cid:durableId="599532106">
    <w:abstractNumId w:val="8"/>
  </w:num>
  <w:num w:numId="5" w16cid:durableId="1516337123">
    <w:abstractNumId w:val="12"/>
  </w:num>
  <w:num w:numId="6" w16cid:durableId="179006718">
    <w:abstractNumId w:val="3"/>
  </w:num>
  <w:num w:numId="7" w16cid:durableId="1098449155">
    <w:abstractNumId w:val="4"/>
  </w:num>
  <w:num w:numId="8" w16cid:durableId="178935125">
    <w:abstractNumId w:val="2"/>
  </w:num>
  <w:num w:numId="9" w16cid:durableId="1498612085">
    <w:abstractNumId w:val="1"/>
  </w:num>
  <w:num w:numId="10" w16cid:durableId="1087264183">
    <w:abstractNumId w:val="11"/>
  </w:num>
  <w:num w:numId="11" w16cid:durableId="1842622702">
    <w:abstractNumId w:val="7"/>
  </w:num>
  <w:num w:numId="12" w16cid:durableId="221910175">
    <w:abstractNumId w:val="10"/>
  </w:num>
  <w:num w:numId="13" w16cid:durableId="133111495">
    <w:abstractNumId w:val="9"/>
  </w:num>
  <w:num w:numId="14" w16cid:durableId="19313541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53C"/>
    <w:rsid w:val="00024AE0"/>
    <w:rsid w:val="00041510"/>
    <w:rsid w:val="00052400"/>
    <w:rsid w:val="00064270"/>
    <w:rsid w:val="000969E4"/>
    <w:rsid w:val="000A461D"/>
    <w:rsid w:val="000A7DD4"/>
    <w:rsid w:val="000C237D"/>
    <w:rsid w:val="00122C50"/>
    <w:rsid w:val="001524C9"/>
    <w:rsid w:val="00152D4C"/>
    <w:rsid w:val="00171102"/>
    <w:rsid w:val="00181E3A"/>
    <w:rsid w:val="00185FB1"/>
    <w:rsid w:val="001932F9"/>
    <w:rsid w:val="001A5537"/>
    <w:rsid w:val="001B35F7"/>
    <w:rsid w:val="001F294D"/>
    <w:rsid w:val="001F547A"/>
    <w:rsid w:val="00221365"/>
    <w:rsid w:val="00226E35"/>
    <w:rsid w:val="00232144"/>
    <w:rsid w:val="002666BF"/>
    <w:rsid w:val="00284A61"/>
    <w:rsid w:val="00296D7D"/>
    <w:rsid w:val="002B479C"/>
    <w:rsid w:val="002D1D27"/>
    <w:rsid w:val="002D3158"/>
    <w:rsid w:val="002D61C6"/>
    <w:rsid w:val="002E1CC8"/>
    <w:rsid w:val="002E2563"/>
    <w:rsid w:val="00311DE9"/>
    <w:rsid w:val="00317188"/>
    <w:rsid w:val="00350E6D"/>
    <w:rsid w:val="0038163A"/>
    <w:rsid w:val="00392D16"/>
    <w:rsid w:val="003D3942"/>
    <w:rsid w:val="003D402D"/>
    <w:rsid w:val="003F53AF"/>
    <w:rsid w:val="003F6047"/>
    <w:rsid w:val="00406DBE"/>
    <w:rsid w:val="00445F32"/>
    <w:rsid w:val="00457DAA"/>
    <w:rsid w:val="00477476"/>
    <w:rsid w:val="004829C5"/>
    <w:rsid w:val="004A0B5F"/>
    <w:rsid w:val="004A2C6E"/>
    <w:rsid w:val="004A3487"/>
    <w:rsid w:val="004C4B72"/>
    <w:rsid w:val="004D1A7C"/>
    <w:rsid w:val="004D3C31"/>
    <w:rsid w:val="004E23B0"/>
    <w:rsid w:val="00500FC5"/>
    <w:rsid w:val="00513BC6"/>
    <w:rsid w:val="00531D29"/>
    <w:rsid w:val="0054061E"/>
    <w:rsid w:val="00551C3B"/>
    <w:rsid w:val="00556193"/>
    <w:rsid w:val="0059390C"/>
    <w:rsid w:val="005950DA"/>
    <w:rsid w:val="005A625A"/>
    <w:rsid w:val="005F3DDF"/>
    <w:rsid w:val="00616FD1"/>
    <w:rsid w:val="00624A3C"/>
    <w:rsid w:val="0063254D"/>
    <w:rsid w:val="00640BF2"/>
    <w:rsid w:val="006760DA"/>
    <w:rsid w:val="006B34B3"/>
    <w:rsid w:val="006C5CCF"/>
    <w:rsid w:val="006C5D37"/>
    <w:rsid w:val="006D4B5D"/>
    <w:rsid w:val="006E2CBE"/>
    <w:rsid w:val="0071398A"/>
    <w:rsid w:val="007859B8"/>
    <w:rsid w:val="00792A9E"/>
    <w:rsid w:val="007939A2"/>
    <w:rsid w:val="007A7415"/>
    <w:rsid w:val="007B6B84"/>
    <w:rsid w:val="007F12EA"/>
    <w:rsid w:val="007F7010"/>
    <w:rsid w:val="007F71CE"/>
    <w:rsid w:val="0084379B"/>
    <w:rsid w:val="00881A76"/>
    <w:rsid w:val="0089409F"/>
    <w:rsid w:val="00895C48"/>
    <w:rsid w:val="008B7C59"/>
    <w:rsid w:val="00920E48"/>
    <w:rsid w:val="0094123B"/>
    <w:rsid w:val="00963EA4"/>
    <w:rsid w:val="009D66BC"/>
    <w:rsid w:val="009E0C4E"/>
    <w:rsid w:val="00A01C79"/>
    <w:rsid w:val="00A039B7"/>
    <w:rsid w:val="00A10C15"/>
    <w:rsid w:val="00A21D70"/>
    <w:rsid w:val="00A32A04"/>
    <w:rsid w:val="00A33D0E"/>
    <w:rsid w:val="00A547FF"/>
    <w:rsid w:val="00A66F54"/>
    <w:rsid w:val="00A74A47"/>
    <w:rsid w:val="00A7553C"/>
    <w:rsid w:val="00A8199A"/>
    <w:rsid w:val="00AA0644"/>
    <w:rsid w:val="00AA53A3"/>
    <w:rsid w:val="00AA5920"/>
    <w:rsid w:val="00AF3283"/>
    <w:rsid w:val="00B01914"/>
    <w:rsid w:val="00B06083"/>
    <w:rsid w:val="00B12EA4"/>
    <w:rsid w:val="00B1478B"/>
    <w:rsid w:val="00B2028B"/>
    <w:rsid w:val="00B21271"/>
    <w:rsid w:val="00B32816"/>
    <w:rsid w:val="00B3358B"/>
    <w:rsid w:val="00BA5B07"/>
    <w:rsid w:val="00BB119B"/>
    <w:rsid w:val="00BD2A82"/>
    <w:rsid w:val="00C77A81"/>
    <w:rsid w:val="00CB7D5B"/>
    <w:rsid w:val="00CC5A50"/>
    <w:rsid w:val="00CF519B"/>
    <w:rsid w:val="00D021F2"/>
    <w:rsid w:val="00D42453"/>
    <w:rsid w:val="00D60A5B"/>
    <w:rsid w:val="00D65DD1"/>
    <w:rsid w:val="00D73AA6"/>
    <w:rsid w:val="00DE5584"/>
    <w:rsid w:val="00E26D67"/>
    <w:rsid w:val="00E44E30"/>
    <w:rsid w:val="00E528D9"/>
    <w:rsid w:val="00E7074E"/>
    <w:rsid w:val="00E85D9C"/>
    <w:rsid w:val="00EA2C43"/>
    <w:rsid w:val="00EC5C55"/>
    <w:rsid w:val="00ED1B9E"/>
    <w:rsid w:val="00EE4619"/>
    <w:rsid w:val="00F20708"/>
    <w:rsid w:val="00F3565A"/>
    <w:rsid w:val="00F50F21"/>
    <w:rsid w:val="00F65048"/>
    <w:rsid w:val="00F7463F"/>
    <w:rsid w:val="00F811A1"/>
    <w:rsid w:val="00F936AC"/>
    <w:rsid w:val="00FB695E"/>
    <w:rsid w:val="00FD266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E5E7E"/>
  <w15:chartTrackingRefBased/>
  <w15:docId w15:val="{C7F67767-E321-4781-8FFA-A534479F9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39"/>
    <w:rsid w:val="002B47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uettelokappale">
    <w:name w:val="List Paragraph"/>
    <w:basedOn w:val="Normaali"/>
    <w:uiPriority w:val="34"/>
    <w:qFormat/>
    <w:rsid w:val="00AA5920"/>
    <w:pPr>
      <w:ind w:left="720"/>
      <w:contextualSpacing/>
    </w:pPr>
  </w:style>
  <w:style w:type="paragraph" w:customStyle="1" w:styleId="LLPerustelujenkappalejako">
    <w:name w:val="LLPerustelujenkappalejako"/>
    <w:rsid w:val="00185FB1"/>
    <w:pPr>
      <w:spacing w:after="220" w:line="220" w:lineRule="exact"/>
      <w:jc w:val="both"/>
    </w:pPr>
    <w:rPr>
      <w:rFonts w:ascii="Times New Roman" w:eastAsia="Times New Roman" w:hAnsi="Times New Roman" w:cs="Times New Roman"/>
      <w:szCs w:val="24"/>
      <w:lang w:eastAsia="fi-FI"/>
    </w:rPr>
  </w:style>
  <w:style w:type="character" w:styleId="Hyperlinkki">
    <w:name w:val="Hyperlink"/>
    <w:basedOn w:val="Kappaleenoletusfontti"/>
    <w:unhideWhenUsed/>
    <w:rsid w:val="00185FB1"/>
    <w:rPr>
      <w:color w:val="0000FF"/>
      <w:u w:val="single"/>
    </w:rPr>
  </w:style>
  <w:style w:type="character" w:styleId="Kommentinviite">
    <w:name w:val="annotation reference"/>
    <w:basedOn w:val="Kappaleenoletusfontti"/>
    <w:uiPriority w:val="99"/>
    <w:semiHidden/>
    <w:unhideWhenUsed/>
    <w:rsid w:val="003D3942"/>
    <w:rPr>
      <w:sz w:val="16"/>
      <w:szCs w:val="16"/>
    </w:rPr>
  </w:style>
  <w:style w:type="paragraph" w:styleId="Kommentinteksti">
    <w:name w:val="annotation text"/>
    <w:basedOn w:val="Normaali"/>
    <w:link w:val="KommentintekstiChar"/>
    <w:uiPriority w:val="99"/>
    <w:unhideWhenUsed/>
    <w:rsid w:val="003D3942"/>
    <w:pPr>
      <w:spacing w:line="240" w:lineRule="auto"/>
    </w:pPr>
    <w:rPr>
      <w:sz w:val="20"/>
      <w:szCs w:val="20"/>
    </w:rPr>
  </w:style>
  <w:style w:type="character" w:customStyle="1" w:styleId="KommentintekstiChar">
    <w:name w:val="Kommentin teksti Char"/>
    <w:basedOn w:val="Kappaleenoletusfontti"/>
    <w:link w:val="Kommentinteksti"/>
    <w:uiPriority w:val="99"/>
    <w:rsid w:val="003D3942"/>
    <w:rPr>
      <w:sz w:val="20"/>
      <w:szCs w:val="20"/>
    </w:rPr>
  </w:style>
  <w:style w:type="paragraph" w:styleId="Kommentinotsikko">
    <w:name w:val="annotation subject"/>
    <w:basedOn w:val="Kommentinteksti"/>
    <w:next w:val="Kommentinteksti"/>
    <w:link w:val="KommentinotsikkoChar"/>
    <w:uiPriority w:val="99"/>
    <w:semiHidden/>
    <w:unhideWhenUsed/>
    <w:rsid w:val="003D3942"/>
    <w:rPr>
      <w:b/>
      <w:bCs/>
    </w:rPr>
  </w:style>
  <w:style w:type="character" w:customStyle="1" w:styleId="KommentinotsikkoChar">
    <w:name w:val="Kommentin otsikko Char"/>
    <w:basedOn w:val="KommentintekstiChar"/>
    <w:link w:val="Kommentinotsikko"/>
    <w:uiPriority w:val="99"/>
    <w:semiHidden/>
    <w:rsid w:val="003D3942"/>
    <w:rPr>
      <w:b/>
      <w:bCs/>
      <w:sz w:val="20"/>
      <w:szCs w:val="20"/>
    </w:rPr>
  </w:style>
  <w:style w:type="paragraph" w:styleId="Seliteteksti">
    <w:name w:val="Balloon Text"/>
    <w:basedOn w:val="Normaali"/>
    <w:link w:val="SelitetekstiChar"/>
    <w:uiPriority w:val="99"/>
    <w:semiHidden/>
    <w:unhideWhenUsed/>
    <w:rsid w:val="003D3942"/>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3D3942"/>
    <w:rPr>
      <w:rFonts w:ascii="Segoe UI" w:hAnsi="Segoe UI" w:cs="Segoe UI"/>
      <w:sz w:val="18"/>
      <w:szCs w:val="18"/>
    </w:rPr>
  </w:style>
  <w:style w:type="paragraph" w:styleId="Muutos">
    <w:name w:val="Revision"/>
    <w:hidden/>
    <w:uiPriority w:val="99"/>
    <w:semiHidden/>
    <w:rsid w:val="007F71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C18E82-8DAB-4A11-B8DB-8FE7A2E70F08}">
  <ds:schemaRefs>
    <ds:schemaRef ds:uri="http://schemas.openxmlformats.org/officeDocument/2006/bibliography"/>
  </ds:schemaRefs>
</ds:datastoreItem>
</file>

<file path=docMetadata/LabelInfo.xml><?xml version="1.0" encoding="utf-8"?>
<clbl:labelList xmlns:clbl="http://schemas.microsoft.com/office/2020/mipLabelMetadata">
  <clbl:label id="{e7f2b28d-54cf-44b6-aad9-6a2b7fb652a6}" enabled="1" method="Standard" siteId="{5cc89a67-fa29-4356-af5d-f436abc7c21b}"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1397</Words>
  <Characters>9100</Characters>
  <Application>Microsoft Office Word</Application>
  <DocSecurity>0</DocSecurity>
  <Lines>175</Lines>
  <Paragraphs>69</Paragraphs>
  <ScaleCrop>false</ScaleCrop>
  <HeadingPairs>
    <vt:vector size="2" baseType="variant">
      <vt:variant>
        <vt:lpstr>Otsikko</vt:lpstr>
      </vt:variant>
      <vt:variant>
        <vt:i4>1</vt:i4>
      </vt:variant>
    </vt:vector>
  </HeadingPairs>
  <TitlesOfParts>
    <vt:vector size="1" baseType="lpstr">
      <vt:lpstr/>
    </vt:vector>
  </TitlesOfParts>
  <Company>Suomen valtion</Company>
  <LinksUpToDate>false</LinksUpToDate>
  <CharactersWithSpaces>10428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Toivanen Eleanoora (MMM)</dc:creator>
  <cp:keywords/>
  <dc:description/>
  <cp:lastModifiedBy>Jalo Anna (MMM)</cp:lastModifiedBy>
  <cp:revision>2</cp:revision>
  <dcterms:created xsi:type="dcterms:W3CDTF">2025-09-29T15:03:00Z</dcterms:created>
  <dcterms:modified xsi:type="dcterms:W3CDTF">2025-09-29T15:03:00Z</dcterms:modified>
</cp:coreProperties>
</file>